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6.png" ContentType="image/png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9"/>
        <w:spacing w:lineRule="auto" w:line="240"/>
        <w:ind w:right="47" w:firstLine="425"/>
        <w:jc w:val="right"/>
        <w:rPr>
          <w:b w:val="false"/>
          <w:b w:val="false"/>
          <w:color w:val="000000"/>
        </w:rPr>
      </w:pPr>
      <w:r>
        <w:rPr>
          <w:rStyle w:val="90pt"/>
          <w:color w:val="000000"/>
          <w:sz w:val="22"/>
          <w:szCs w:val="22"/>
        </w:rPr>
        <w:t xml:space="preserve">Приложение № 2 к Договору №________ </w:t>
      </w:r>
      <w:r/>
    </w:p>
    <w:p>
      <w:pPr>
        <w:pStyle w:val="Style16"/>
        <w:spacing w:lineRule="auto" w:line="240" w:before="0" w:after="0"/>
        <w:ind w:right="47" w:firstLine="425"/>
        <w:jc w:val="right"/>
        <w:rPr>
          <w:b w:val="false"/>
          <w:b w:val="false"/>
          <w:rFonts w:eastAsia="Times New Roman"/>
          <w:color w:val="000000"/>
        </w:rPr>
      </w:pPr>
      <w:r>
        <w:rPr>
          <w:rStyle w:val="Style14"/>
          <w:b w:val="false"/>
          <w:color w:val="000000"/>
        </w:rPr>
        <w:t>на управление и техническое обслуживание общего</w:t>
      </w:r>
      <w:r/>
    </w:p>
    <w:p>
      <w:pPr>
        <w:pStyle w:val="Style16"/>
        <w:spacing w:lineRule="auto" w:line="240" w:before="0" w:after="0"/>
        <w:ind w:right="47" w:firstLine="425"/>
        <w:jc w:val="right"/>
        <w:rPr>
          <w:rFonts w:cs="Times New Roman"/>
        </w:rPr>
      </w:pPr>
      <w:r>
        <w:rPr>
          <w:rStyle w:val="Style14"/>
          <w:rFonts w:eastAsia="Times New Roman"/>
          <w:b w:val="false"/>
          <w:color w:val="000000"/>
        </w:rPr>
        <w:t xml:space="preserve"> </w:t>
      </w:r>
      <w:r>
        <w:rPr>
          <w:rStyle w:val="Style14"/>
          <w:b w:val="false"/>
          <w:color w:val="000000"/>
        </w:rPr>
        <w:t>имущества многоквартирного  дома</w:t>
      </w:r>
      <w:r/>
    </w:p>
    <w:p>
      <w:pPr>
        <w:pStyle w:val="9"/>
        <w:spacing w:lineRule="auto" w:line="240"/>
        <w:ind w:right="47" w:hanging="0"/>
        <w:jc w:val="right"/>
      </w:pPr>
      <w:r>
        <w:rPr>
          <w:rFonts w:cs="Times New Roman"/>
          <w:spacing w:val="0"/>
          <w:sz w:val="22"/>
          <w:szCs w:val="22"/>
        </w:rPr>
        <w:t>от _______________</w:t>
      </w:r>
      <w:r/>
    </w:p>
    <w:p>
      <w:pPr>
        <w:pStyle w:val="Style16"/>
        <w:spacing w:lineRule="auto" w:line="240" w:before="0" w:after="0"/>
        <w:ind w:right="47" w:firstLine="425"/>
        <w:rPr>
          <w:sz w:val="22"/>
          <w:sz w:val="22"/>
          <w:szCs w:val="22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>
          <w:rFonts w:eastAsia="Calibri" w:cs="Arial"/>
          <w:lang w:eastAsia="zh-CN"/>
        </w:rPr>
      </w:r>
      <w:r/>
    </w:p>
    <w:p>
      <w:pPr>
        <w:pStyle w:val="Style16"/>
        <w:spacing w:lineRule="auto" w:line="240" w:before="0" w:after="0"/>
        <w:ind w:right="47" w:firstLine="425"/>
      </w:pPr>
      <w:r>
        <w:rPr>
          <w:rStyle w:val="Style14"/>
          <w:color w:val="000000"/>
        </w:rPr>
        <w:t>Акт о разграничении зон ответственности технического обслуживания многоквартирного  дома между Собственником и Товариществом</w:t>
      </w:r>
      <w:r/>
    </w:p>
    <w:p>
      <w:pPr>
        <w:pStyle w:val="Style16"/>
        <w:spacing w:lineRule="auto" w:line="240" w:before="0" w:after="0"/>
        <w:ind w:right="47" w:firstLine="425"/>
        <w:rPr>
          <w:sz w:val="22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lang w:eastAsia="zh-CN"/>
        </w:rPr>
      </w:r>
      <w:r/>
    </w:p>
    <w:p>
      <w:pPr>
        <w:pStyle w:val="9"/>
        <w:tabs>
          <w:tab w:val="left" w:pos="5855" w:leader="underscore"/>
        </w:tabs>
        <w:spacing w:lineRule="auto" w:line="240"/>
        <w:ind w:right="47" w:firstLine="425"/>
        <w:jc w:val="both"/>
      </w:pPr>
      <w:r>
        <w:rPr>
          <w:rStyle w:val="16"/>
          <w:rFonts w:cs="Times New Roman"/>
          <w:i w:val="false"/>
          <w:iCs w:val="false"/>
          <w:color w:val="000000"/>
          <w:spacing w:val="0"/>
          <w:sz w:val="22"/>
          <w:szCs w:val="22"/>
        </w:rPr>
        <w:t>___________________________________________, собственник</w:t>
      </w:r>
      <w:r>
        <w:rPr>
          <w:rStyle w:val="90pt"/>
          <w:color w:val="000000"/>
          <w:sz w:val="22"/>
          <w:szCs w:val="22"/>
        </w:rPr>
        <w:t xml:space="preserve"> расположенного по адресу: </w:t>
      </w:r>
      <w:r>
        <w:rPr>
          <w:rFonts w:cs="Times New Roman"/>
          <w:color w:val="000000"/>
          <w:spacing w:val="0"/>
          <w:sz w:val="22"/>
          <w:szCs w:val="22"/>
        </w:rPr>
        <w:t>Санкт-Петербург, ул. Бухарестская, д.110, к.1</w:t>
      </w:r>
      <w:r>
        <w:rPr>
          <w:rStyle w:val="90pt"/>
          <w:color w:val="000000"/>
          <w:sz w:val="22"/>
          <w:szCs w:val="22"/>
        </w:rPr>
        <w:t>, жилого (нежилого) помещения ______, именуемый в дальнейшем «Собственник», с одной стороны, и ТСЖ «</w:t>
      </w:r>
      <w:r>
        <w:rPr>
          <w:rFonts w:cs="Times New Roman"/>
          <w:spacing w:val="0"/>
          <w:sz w:val="22"/>
          <w:szCs w:val="22"/>
        </w:rPr>
        <w:t>Твин Пикс</w:t>
      </w:r>
      <w:r>
        <w:rPr>
          <w:rStyle w:val="90pt"/>
          <w:color w:val="000000"/>
          <w:sz w:val="22"/>
          <w:szCs w:val="22"/>
        </w:rPr>
        <w:t xml:space="preserve">» в лице Председателя Правления </w:t>
      </w:r>
      <w:r>
        <w:rPr>
          <w:rStyle w:val="90pt"/>
          <w:rFonts w:cs="Times New Roman"/>
          <w:color w:val="000000"/>
          <w:spacing w:val="0"/>
          <w:sz w:val="22"/>
          <w:szCs w:val="22"/>
        </w:rPr>
        <w:t>____________________________________________________</w:t>
      </w:r>
      <w:r>
        <w:rPr>
          <w:rStyle w:val="90pt"/>
          <w:color w:val="000000"/>
          <w:sz w:val="22"/>
          <w:szCs w:val="22"/>
        </w:rPr>
        <w:t>, именуемое в дальнейшем «Товарищество», действующее на основании Устава, с другой стороны, заключили настоящий Акт о разграничении зон ответственности технического обслуживания многоквартирного жилого дома между Собственником и Товариществом.</w:t>
      </w:r>
      <w:r/>
    </w:p>
    <w:p>
      <w:pPr>
        <w:pStyle w:val="9"/>
        <w:numPr>
          <w:ilvl w:val="0"/>
          <w:numId w:val="1"/>
        </w:numPr>
        <w:tabs>
          <w:tab w:val="left" w:pos="709" w:leader="none"/>
          <w:tab w:val="left" w:pos="1134" w:leader="none"/>
          <w:tab w:val="left" w:pos="1701" w:leader="none"/>
          <w:tab w:val="left" w:pos="1948" w:leader="none"/>
        </w:tabs>
        <w:spacing w:lineRule="auto" w:line="240"/>
        <w:ind w:right="47" w:firstLine="425"/>
        <w:jc w:val="both"/>
        <w:rPr>
          <w:sz w:val="22"/>
          <w:sz w:val="22"/>
          <w:szCs w:val="22"/>
          <w:color w:val="000000"/>
        </w:rPr>
      </w:pPr>
      <w:r>
        <w:rPr>
          <w:rStyle w:val="90pt"/>
          <w:color w:val="000000"/>
          <w:sz w:val="22"/>
          <w:szCs w:val="22"/>
        </w:rPr>
        <w:t>В качестве исходных точек, определяющих границы зон ответственности технического обслуживания жилого дома между Собственником и Товариществом, приняты точки разграничения между общей долевой собственностью общего имущества многоквартирного жилого дома и собственностью владельцев жилых (нежилых) помещений, которые представляют собой точки отвода инженерных сетей к жилому (нежилому) помещению от общих домовых систем.</w:t>
      </w:r>
      <w:r/>
    </w:p>
    <w:p>
      <w:pPr>
        <w:pStyle w:val="9"/>
        <w:numPr>
          <w:ilvl w:val="0"/>
          <w:numId w:val="1"/>
        </w:numPr>
        <w:tabs>
          <w:tab w:val="left" w:pos="709" w:leader="none"/>
          <w:tab w:val="left" w:pos="1134" w:leader="none"/>
          <w:tab w:val="left" w:pos="1701" w:leader="none"/>
          <w:tab w:val="left" w:pos="1962" w:leader="none"/>
        </w:tabs>
        <w:spacing w:lineRule="auto" w:line="240"/>
        <w:ind w:right="47" w:firstLine="425"/>
        <w:jc w:val="both"/>
      </w:pPr>
      <w:r>
        <w:rPr>
          <w:rStyle w:val="90pt"/>
          <w:color w:val="000000"/>
          <w:sz w:val="22"/>
          <w:szCs w:val="22"/>
        </w:rPr>
        <w:t>Зоны ответственности обслуживания жилого дома между Собственником и Товариществом устанавливаются следующие:</w:t>
      </w:r>
      <w:r/>
    </w:p>
    <w:p>
      <w:pPr>
        <w:pStyle w:val="9"/>
        <w:numPr>
          <w:ilvl w:val="1"/>
          <w:numId w:val="1"/>
        </w:numPr>
        <w:tabs>
          <w:tab w:val="left" w:pos="709" w:leader="none"/>
          <w:tab w:val="left" w:pos="851" w:leader="none"/>
          <w:tab w:val="left" w:pos="1701" w:leader="none"/>
          <w:tab w:val="left" w:pos="2073" w:leader="none"/>
        </w:tabs>
        <w:spacing w:lineRule="auto" w:line="240"/>
        <w:ind w:right="47" w:firstLine="425"/>
        <w:jc w:val="both"/>
      </w:pPr>
      <w:r>
        <w:rPr>
          <w:rStyle w:val="90pt"/>
          <w:color w:val="000000"/>
          <w:sz w:val="22"/>
          <w:szCs w:val="22"/>
        </w:rPr>
        <w:t>По системе электроснабжения: точки крепления фазного(-ых) (</w:t>
      </w:r>
      <w:r>
        <w:rPr>
          <w:rStyle w:val="90pt"/>
          <w:color w:val="000000"/>
          <w:sz w:val="22"/>
          <w:szCs w:val="22"/>
          <w:lang w:val="en-US"/>
        </w:rPr>
        <w:t>L</w:t>
      </w:r>
      <w:r>
        <w:rPr>
          <w:rStyle w:val="90pt"/>
          <w:color w:val="000000"/>
          <w:sz w:val="22"/>
          <w:szCs w:val="22"/>
        </w:rPr>
        <w:t>), нулевого (N) и заземляющего (</w:t>
      </w:r>
      <w:r>
        <w:rPr>
          <w:rStyle w:val="90pt"/>
          <w:color w:val="000000"/>
          <w:sz w:val="22"/>
          <w:szCs w:val="22"/>
          <w:lang w:val="en-US"/>
        </w:rPr>
        <w:t>P</w:t>
      </w:r>
      <w:r>
        <w:rPr>
          <w:rStyle w:val="90pt"/>
          <w:color w:val="000000"/>
          <w:sz w:val="22"/>
          <w:szCs w:val="22"/>
        </w:rPr>
        <w:t>) проводов на вводных клеммах автоматического выключателя Собственника, расположенного в местах общего пользования (этажные распределительные щиты, ГРЩ). Стояковую разводку и точки крепления обслуживает Товарищество. Отходящие от границ балансовой и эксплуатационной ответственности провода и все электрооборудование, обслуживает Собственник за счет собственных средств.</w:t>
      </w:r>
      <w:r>
        <w:rPr>
          <w:lang w:eastAsia="ru-RU"/>
        </w:rPr>
        <w:t xml:space="preserve"> </w:t>
      </w:r>
      <w:r/>
    </w:p>
    <w:p>
      <w:pPr>
        <w:pStyle w:val="9"/>
        <w:tabs>
          <w:tab w:val="left" w:pos="851" w:leader="none"/>
          <w:tab w:val="left" w:pos="1701" w:leader="none"/>
          <w:tab w:val="left" w:pos="2073" w:leader="none"/>
        </w:tabs>
        <w:spacing w:lineRule="auto" w:line="240"/>
        <w:ind w:left="425" w:right="47" w:hanging="0"/>
        <w:jc w:val="both"/>
        <w:rPr>
          <w:sz w:val="22"/>
          <w:spacing w:val="0"/>
          <w:sz w:val="22"/>
          <w:szCs w:val="22"/>
          <w:rFonts w:cs="Times New Roman"/>
        </w:rPr>
      </w:pPr>
      <w:r>
        <w:rPr/>
        <w:drawing>
          <wp:inline distT="0" distB="0" distL="0" distR="0">
            <wp:extent cx="3442970" cy="191706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970" cy="191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9"/>
        <w:tabs>
          <w:tab w:val="left" w:pos="709" w:leader="none"/>
          <w:tab w:val="left" w:pos="851" w:leader="none"/>
          <w:tab w:val="left" w:pos="1701" w:leader="none"/>
          <w:tab w:val="left" w:pos="2073" w:leader="none"/>
        </w:tabs>
        <w:spacing w:lineRule="auto" w:line="240"/>
        <w:ind w:right="47" w:hanging="0"/>
        <w:jc w:val="both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numPr>
          <w:ilvl w:val="1"/>
          <w:numId w:val="1"/>
        </w:numPr>
        <w:tabs>
          <w:tab w:val="left" w:pos="851" w:leader="none"/>
        </w:tabs>
        <w:spacing w:lineRule="auto" w:line="240"/>
        <w:ind w:right="47" w:firstLine="425"/>
        <w:jc w:val="both"/>
      </w:pPr>
      <w:r>
        <w:rPr>
          <w:rStyle w:val="90pt"/>
          <w:color w:val="000000"/>
          <w:sz w:val="22"/>
          <w:szCs w:val="22"/>
        </w:rPr>
        <w:t>По системе холодного и горячего водоснабжения: точка первого резьбового соединения  от стояка водоснабжения. Стояк обслуживает Товарищество, оставшуюся часть - Собственник за счет собственных средств.</w:t>
      </w:r>
      <w:r/>
    </w:p>
    <w:p>
      <w:pPr>
        <w:pStyle w:val="Normal"/>
        <w:ind w:right="47" w:hanging="0"/>
        <w:rPr>
          <w:rFonts w:ascii="Times New Roman" w:hAnsi="Times New Roman"/>
        </w:rPr>
      </w:pPr>
      <w:r>
        <w:rPr/>
        <w:drawing>
          <wp:inline distT="0" distB="0" distL="0" distR="0">
            <wp:extent cx="3021330" cy="1887220"/>
            <wp:effectExtent l="0" t="0" r="0" b="0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188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rmal"/>
        <w:ind w:right="47" w:firstLine="425"/>
        <w:rPr>
          <w:sz w:val="22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 w:ascii="Times New Roman" w:hAnsi="Times New Roman"/>
          <w:lang w:eastAsia="zh-CN"/>
        </w:rPr>
      </w:r>
      <w:r/>
    </w:p>
    <w:p>
      <w:pPr>
        <w:pStyle w:val="9"/>
        <w:numPr>
          <w:ilvl w:val="1"/>
          <w:numId w:val="1"/>
        </w:numPr>
        <w:tabs>
          <w:tab w:val="left" w:pos="1189" w:leader="none"/>
        </w:tabs>
        <w:spacing w:lineRule="auto" w:line="240"/>
        <w:ind w:right="47" w:firstLine="425"/>
        <w:jc w:val="both"/>
      </w:pPr>
      <w:r>
        <w:rPr>
          <w:rStyle w:val="90pt"/>
          <w:sz w:val="22"/>
          <w:szCs w:val="22"/>
        </w:rPr>
        <w:t>По системе водоотведения: точка присоединения отводящей трубы системы водоотведения жилого (нежилого) помещения к тройнику транзитного стояка общей домовой системы водоотведения. Тройник транзитного канализационного стояка и сам стояк обслуживает Товарищество, оставшуюся часть - Собственник за счет собственных средств.</w:t>
      </w:r>
      <w:r/>
    </w:p>
    <w:p>
      <w:pPr>
        <w:pStyle w:val="Normal"/>
        <w:ind w:right="47" w:firstLine="425"/>
        <w:rPr>
          <w:sz w:val="22"/>
          <w:sz w:val="22"/>
          <w:szCs w:val="22"/>
          <w:rFonts w:ascii="Calibri" w:hAnsi="Calibri" w:eastAsia="Calibri" w:cs="Times New Roman" w:asciiTheme="minorHAnsi" w:eastAsiaTheme="minorHAnsi" w:hAnsiTheme="minorHAnsi"/>
          <w:color w:val="00000A"/>
          <w:lang w:val="ru-RU" w:eastAsia="zh-CN" w:bidi="ar-SA"/>
        </w:rPr>
      </w:pPr>
      <w:r>
        <w:rPr>
          <w:rFonts w:eastAsia="Calibri" w:cs="Times New Roman"/>
          <w:lang w:eastAsia="zh-CN"/>
        </w:rPr>
      </w:r>
      <w:r>
        <mc:AlternateContent>
          <mc:Choice Requires="wps">
            <w:drawing>
              <wp:anchor behindDoc="0" distT="0" distB="0" distL="0" distR="0" simplePos="0" locked="0" layoutInCell="1" allowOverlap="1" relativeHeight="2" wp14:anchorId="787F068C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238240" cy="2723515"/>
                <wp:effectExtent l="0" t="0" r="0" b="0"/>
                <wp:wrapTopAndBottom/>
                <wp:docPr id="3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240" cy="272351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0"/>
                              <w:ind w:right="47" w:firstLine="42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108700" cy="2292350"/>
                                  <wp:effectExtent l="0" t="0" r="0" b="0"/>
                                  <wp:docPr id="4" name="Picture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08700" cy="2292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sz w:val="22"/>
                                <w:sz w:val="22"/>
                                <w:szCs w:val="22"/>
                                <w:rFonts w:ascii="Calibri" w:hAnsi="Calibri" w:eastAsia="Calibri" w:cs="Times New Roman" w:asciiTheme="minorHAnsi" w:eastAsiaTheme="minorHAnsi" w:hAnsiTheme="minorHAnsi"/>
                                <w:color w:val="00000A"/>
                                <w:lang w:val="ru-RU" w:eastAsia="zh-CN" w:bidi="ar-SA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53975" tIns="53975" rIns="53975" bIns="5397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width:491.2pt;height:214.45pt;mso-wrap-distance-left:0pt;mso-wrap-distance-right:0pt;mso-wrap-distance-top:0pt;mso-wrap-distance-bottom:0pt;margin-top:0.05pt;mso-position-vertical-relative:text;margin-left:-11.75pt;mso-position-horizontal:center;mso-position-horizontal-relative:text" w14:anchorId="787F068C">
                <v:fill opacity="0f"/>
                <v:textbox inset="0.0590277777777778in,0.0590277777777778in,0.0590277777777778in,0.0590277777777778in">
                  <w:txbxContent>
                    <w:p>
                      <w:pPr>
                        <w:pStyle w:val="Style20"/>
                        <w:ind w:right="47" w:firstLine="425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/>
                        <w:drawing>
                          <wp:inline distT="0" distB="0" distL="0" distR="0">
                            <wp:extent cx="6108700" cy="2292350"/>
                            <wp:effectExtent l="0" t="0" r="0" b="0"/>
                            <wp:docPr id="5" name="Picture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08700" cy="2292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sz w:val="22"/>
                          <w:sz w:val="22"/>
                          <w:szCs w:val="22"/>
                          <w:rFonts w:ascii="Calibri" w:hAnsi="Calibri" w:eastAsia="Calibri" w:cs="Times New Roman" w:asciiTheme="minorHAnsi" w:eastAsiaTheme="minorHAnsi" w:hAnsiTheme="minorHAnsi"/>
                          <w:color w:val="00000A"/>
                          <w:lang w:val="ru-RU" w:eastAsia="zh-CN" w:bidi="ar-SA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/>
    </w:p>
    <w:p>
      <w:pPr>
        <w:pStyle w:val="9"/>
        <w:numPr>
          <w:ilvl w:val="1"/>
          <w:numId w:val="1"/>
        </w:numPr>
        <w:tabs>
          <w:tab w:val="left" w:pos="1179" w:leader="none"/>
        </w:tabs>
        <w:spacing w:lineRule="auto" w:line="240"/>
        <w:ind w:right="47" w:firstLine="425"/>
        <w:jc w:val="both"/>
      </w:pPr>
      <w:r>
        <w:rPr>
          <w:rStyle w:val="90pt"/>
          <w:color w:val="000000"/>
          <w:sz w:val="22"/>
          <w:szCs w:val="22"/>
        </w:rPr>
        <w:t xml:space="preserve">По системе теплоснабжения: проходит по вторым резьбовым соединениям запорной арматуры подводящих и отходящих труб системы теплоснабжения жилого (нежилого) помещения </w:t>
      </w:r>
      <w:bookmarkStart w:id="0" w:name="_GoBack"/>
      <w:bookmarkEnd w:id="0"/>
      <w:r>
        <w:rPr>
          <w:rStyle w:val="90pt"/>
          <w:color w:val="000000"/>
          <w:sz w:val="22"/>
          <w:szCs w:val="22"/>
        </w:rPr>
        <w:t xml:space="preserve"> к системе теплоснабжения дома. Транзитные стояки системы теплоснабжения дома, подводящие и отходящие от них трубы до точек присоединения, запорную арматуру обслуживает Товарищество. Оставшуюся часть, после границ ответственности, от резьбовых соединений запорной арматуры - Собственник за счет собственных средств.</w:t>
      </w:r>
      <w:r/>
    </w:p>
    <w:p>
      <w:pPr>
        <w:pStyle w:val="ListParagraph"/>
      </w:pPr>
      <w:r>
        <w:rPr/>
      </w:r>
      <w:r/>
    </w:p>
    <w:p>
      <w:pPr>
        <w:pStyle w:val="9"/>
        <w:tabs>
          <w:tab w:val="left" w:pos="1179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>
          <w:rFonts w:eastAsia="Calibri" w:cs="Arial"/>
          <w:spacing w:val="10"/>
          <w:sz w:val="19"/>
          <w:szCs w:val="19"/>
          <w:lang w:eastAsia="zh-CN"/>
        </w:rPr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pacing w:val="10"/>
          <w:rFonts w:cs="Arial"/>
        </w:rPr>
      </w:pPr>
      <w:r>
        <w:rPr/>
        <w:drawing>
          <wp:inline distT="0" distB="0" distL="0" distR="0">
            <wp:extent cx="3768725" cy="2752090"/>
            <wp:effectExtent l="0" t="0" r="0" b="0"/>
            <wp:docPr id="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275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tabs>
          <w:tab w:val="left" w:pos="1232" w:leader="none"/>
        </w:tabs>
        <w:spacing w:lineRule="auto" w:line="240"/>
        <w:ind w:left="425" w:right="47" w:hanging="0"/>
        <w:jc w:val="both"/>
        <w:rPr>
          <w:sz w:val="19"/>
          <w:spacing w:val="10"/>
          <w:sz w:val="19"/>
          <w:szCs w:val="19"/>
          <w:rFonts w:ascii="Times New Roman" w:hAnsi="Times New Roman" w:eastAsia="Calibri" w:cs="Arial" w:eastAsiaTheme="minorHAnsi"/>
          <w:color w:val="00000A"/>
          <w:lang w:val="ru-RU" w:eastAsia="zh-CN" w:bidi="ar-SA"/>
        </w:rPr>
      </w:pPr>
      <w:r>
        <w:rPr/>
      </w:r>
      <w:r/>
    </w:p>
    <w:p>
      <w:pPr>
        <w:pStyle w:val="9"/>
        <w:numPr>
          <w:ilvl w:val="1"/>
          <w:numId w:val="1"/>
        </w:numPr>
        <w:tabs>
          <w:tab w:val="left" w:pos="1232" w:leader="none"/>
        </w:tabs>
        <w:spacing w:lineRule="auto" w:line="240"/>
        <w:ind w:right="47" w:firstLine="425"/>
        <w:jc w:val="both"/>
        <w:rPr>
          <w:spacing w:val="10"/>
          <w:rFonts w:cs="Arial"/>
        </w:rPr>
      </w:pPr>
      <w:r>
        <w:rPr>
          <w:rStyle w:val="90pt"/>
          <w:color w:val="000000"/>
          <w:sz w:val="22"/>
          <w:szCs w:val="22"/>
        </w:rPr>
        <w:t>По системам переговорно-замочного устройства (ПЗУ или домофон) и телевизионного вещания: точки присоединения подводящего квартирного кабеля к общей домовому кабелю систем домофона или телевидения. Разводку магистральных кабелей (стояков) по дому обслуживает Товарищество, оставшуюся часть - Собственник за счет собственных средств.</w:t>
      </w:r>
      <w:r/>
    </w:p>
    <w:p>
      <w:pPr>
        <w:pStyle w:val="9"/>
        <w:tabs>
          <w:tab w:val="left" w:pos="1232" w:leader="none"/>
        </w:tabs>
        <w:spacing w:lineRule="auto" w:line="240"/>
        <w:ind w:right="47" w:hanging="0"/>
        <w:jc w:val="both"/>
        <w:rPr>
          <w:spacing w:val="10"/>
          <w:rFonts w:cs="Arial"/>
        </w:rPr>
      </w:pPr>
      <w:r>
        <w:rPr/>
        <w:drawing>
          <wp:inline distT="0" distB="0" distL="0" distR="0">
            <wp:extent cx="5525770" cy="1679575"/>
            <wp:effectExtent l="0" t="0" r="0" b="0"/>
            <wp:docPr id="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67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9"/>
        <w:numPr>
          <w:ilvl w:val="1"/>
          <w:numId w:val="1"/>
        </w:numPr>
        <w:tabs>
          <w:tab w:val="left" w:pos="1310" w:leader="none"/>
        </w:tabs>
        <w:spacing w:lineRule="auto" w:line="240"/>
        <w:ind w:right="47" w:firstLine="425"/>
        <w:jc w:val="both"/>
      </w:pPr>
      <w:r>
        <w:rPr>
          <w:rStyle w:val="90pt"/>
          <w:color w:val="000000"/>
          <w:sz w:val="22"/>
          <w:szCs w:val="22"/>
        </w:rPr>
        <w:t>По системе охранно-пожарной сигнализации (ОПС) и автоматизированной противопожарной защите (АППЗ): точка присоединения подводящего кабеля к первому квартирному датчику ОПС И АППЗ. Общую домовую разводку и подводку к первому квартирному датчику ОПС и АППЗ обслуживает Товарищество, оставшуюся часть - Собственник за счет собственных средств.</w:t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cs="Times New Roman"/>
        </w:rPr>
      </w:pPr>
      <w:r>
        <w:rPr/>
        <w:drawing>
          <wp:inline distT="0" distB="0" distL="0" distR="0">
            <wp:extent cx="5200015" cy="1816100"/>
            <wp:effectExtent l="0" t="0" r="0" b="0"/>
            <wp:docPr id="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15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cs="Times New Roman"/>
        </w:rPr>
      </w:pPr>
      <w:r>
        <w:rPr>
          <w:rFonts w:cs="Times New Roman"/>
          <w:spacing w:val="0"/>
          <w:sz w:val="22"/>
          <w:szCs w:val="22"/>
        </w:rPr>
        <w:t>Собственник:</w:t>
        <w:tab/>
        <w:t xml:space="preserve">                                                                           Товарищество:</w:t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9"/>
        <w:spacing w:lineRule="auto" w:line="240"/>
        <w:ind w:right="47" w:firstLine="425"/>
        <w:rPr>
          <w:sz w:val="22"/>
          <w:spacing w:val="0"/>
          <w:sz w:val="22"/>
          <w:szCs w:val="22"/>
          <w:rFonts w:ascii="Times New Roman" w:hAnsi="Times New Roman" w:eastAsia="Calibri" w:cs="Times New Roman" w:eastAsiaTheme="minorHAnsi"/>
          <w:color w:val="00000A"/>
          <w:lang w:val="ru-RU" w:eastAsia="zh-CN" w:bidi="ar-SA"/>
        </w:rPr>
      </w:pPr>
      <w:r>
        <w:rPr>
          <w:rFonts w:eastAsia="Calibri" w:cs="Times New Roman"/>
          <w:spacing w:val="0"/>
          <w:sz w:val="22"/>
          <w:szCs w:val="22"/>
          <w:lang w:eastAsia="zh-CN"/>
        </w:rPr>
      </w:r>
      <w:r/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                                 </w:t>
      </w:r>
      <w:r>
        <w:rPr>
          <w:rFonts w:eastAsia="Times New Roman" w:ascii="Times New Roman" w:hAnsi="Times New Roman"/>
          <w:b/>
          <w:lang w:bidi="en-US"/>
        </w:rPr>
        <w:t>___________________ / _____________________</w:t>
      </w:r>
      <w:r>
        <w:rPr>
          <w:rFonts w:ascii="Times New Roman" w:hAnsi="Times New Roman"/>
          <w:b/>
        </w:rPr>
        <w:t>.</w:t>
      </w:r>
      <w:r/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</w:pPr>
      <w:r>
        <w:rPr/>
      </w:r>
      <w:r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8"/>
        </w:tabs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u w:val="none"/>
        <w:b w:val="false"/>
        <w:szCs w:val="22"/>
        <w:iCs w:val="false"/>
        <w:bCs w:val="false"/>
        <w:w w:val="100"/>
      </w:rPr>
    </w:lvl>
    <w:lvl w:ilvl="2">
      <w:start w:val="1"/>
      <w:numFmt w:val="decimal"/>
      <w:lvlText w:val="%2.%3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  <w:lvl w:ilvl="3">
      <w:start w:val="1"/>
      <w:numFmt w:val="decimal"/>
      <w:lvlText w:val="%3.%4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  <w:lvl w:ilvl="4">
      <w:start w:val="1"/>
      <w:numFmt w:val="decimal"/>
      <w:lvlText w:val="%4.%5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  <w:lvl w:ilvl="5">
      <w:start w:val="1"/>
      <w:numFmt w:val="decimal"/>
      <w:lvlText w:val="%5.%6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  <w:lvl w:ilvl="6">
      <w:start w:val="1"/>
      <w:numFmt w:val="decimal"/>
      <w:lvlText w:val="%6.%7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  <w:lvl w:ilvl="7">
      <w:start w:val="1"/>
      <w:numFmt w:val="decimal"/>
      <w:lvlText w:val="%7.%8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  <w:lvl w:ilvl="8">
      <w:start w:val="1"/>
      <w:numFmt w:val="decimal"/>
      <w:lvlText w:val="%8.%9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9"/>
        <w:sz w:val="19"/>
        <w:spacing w:val="0"/>
        <w:i w:val="false"/>
        <w:u w:val="none"/>
        <w:b w:val="false"/>
        <w:szCs w:val="19"/>
        <w:iCs w:val="false"/>
        <w:bCs w:val="false"/>
        <w:w w:val="1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uiPriority="0" w:name="Body Tex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2f0d6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2"/>
      <w:szCs w:val="22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f0d63"/>
    <w:rPr>
      <w:rFonts w:ascii="Tahoma" w:hAnsi="Tahoma" w:cs="Tahoma"/>
      <w:sz w:val="16"/>
      <w:szCs w:val="16"/>
    </w:rPr>
  </w:style>
  <w:style w:type="character" w:styleId="Style14" w:customStyle="1">
    <w:name w:val="Основной текст + Полужирный"/>
    <w:rsid w:val="002f0d63"/>
    <w:rPr>
      <w:rFonts w:ascii="Times New Roman" w:hAnsi="Times New Roman" w:cs="Times New Roman"/>
      <w:b/>
      <w:bCs/>
      <w:sz w:val="22"/>
      <w:szCs w:val="22"/>
    </w:rPr>
  </w:style>
  <w:style w:type="character" w:styleId="16" w:customStyle="1">
    <w:name w:val="Основной текст (16)_"/>
    <w:rsid w:val="002f0d63"/>
    <w:rPr>
      <w:i/>
      <w:iCs/>
      <w:sz w:val="17"/>
      <w:szCs w:val="17"/>
    </w:rPr>
  </w:style>
  <w:style w:type="character" w:styleId="90pt" w:customStyle="1">
    <w:name w:val="Основной текст (9) + Интервал 0 pt"/>
    <w:rsid w:val="002f0d63"/>
    <w:rPr>
      <w:rFonts w:ascii="Times New Roman" w:hAnsi="Times New Roman" w:cs="Times New Roman"/>
      <w:spacing w:val="0"/>
      <w:sz w:val="19"/>
      <w:szCs w:val="19"/>
    </w:rPr>
  </w:style>
  <w:style w:type="character" w:styleId="BodyTextChar" w:customStyle="1">
    <w:name w:val="Body Text Char"/>
    <w:basedOn w:val="DefaultParagraphFont"/>
    <w:link w:val="BodyText"/>
    <w:rsid w:val="002f0d63"/>
    <w:rPr>
      <w:rFonts w:ascii="Times New Roman" w:hAnsi="Times New Roman" w:eastAsia="Calibri" w:cs="Arial"/>
      <w:lang w:eastAsia="zh-CN"/>
    </w:rPr>
  </w:style>
  <w:style w:type="character" w:styleId="Annotationreference">
    <w:name w:val="annotation reference"/>
    <w:uiPriority w:val="99"/>
    <w:semiHidden/>
    <w:unhideWhenUsed/>
    <w:rsid w:val="002f0d63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f0d63"/>
    <w:rPr>
      <w:rFonts w:ascii="Calibri" w:hAnsi="Calibri" w:eastAsia="Calibri" w:cs="Times New Roman"/>
      <w:sz w:val="20"/>
      <w:szCs w:val="20"/>
      <w:lang w:eastAsia="zh-CN"/>
    </w:rPr>
  </w:style>
  <w:style w:type="character" w:styleId="ListLabel1">
    <w:name w:val="ListLabel 1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ListLabel2">
    <w:name w:val="ListLabel 2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ListLabel3">
    <w:name w:val="ListLabel 3"/>
    <w:rPr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ListLabel4">
    <w:name w:val="ListLabel 4"/>
    <w:rPr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w w:val="100"/>
      <w:position w:val="0"/>
      <w:sz w:val="22"/>
      <w:sz w:val="22"/>
      <w:szCs w:val="22"/>
      <w:u w:val="none"/>
      <w:vertAlign w:val="baseline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link w:val="BodyTextChar"/>
    <w:rsid w:val="002f0d63"/>
    <w:pPr>
      <w:widowControl w:val="false"/>
      <w:spacing w:lineRule="exact" w:line="264" w:before="0" w:after="480"/>
      <w:ind w:hanging="420"/>
      <w:jc w:val="center"/>
    </w:pPr>
    <w:rPr>
      <w:rFonts w:ascii="Times New Roman" w:hAnsi="Times New Roman" w:cs="Arial"/>
    </w:rPr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Arial"/>
    </w:rPr>
  </w:style>
  <w:style w:type="paragraph" w:styleId="9" w:customStyle="1">
    <w:name w:val="Основной текст (9)"/>
    <w:basedOn w:val="Normal"/>
    <w:rsid w:val="002f0d63"/>
    <w:pPr>
      <w:widowControl w:val="false"/>
      <w:spacing w:lineRule="atLeast" w:line="240" w:before="0" w:after="0"/>
    </w:pPr>
    <w:rPr>
      <w:rFonts w:ascii="Times New Roman" w:hAnsi="Times New Roman" w:cs="Arial"/>
      <w:spacing w:val="10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d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semiHidden/>
    <w:unhideWhenUsed/>
    <w:rsid w:val="002f0d63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a47cd"/>
    <w:pPr>
      <w:spacing w:before="0" w:after="200"/>
      <w:ind w:left="720" w:hanging="0"/>
      <w:contextualSpacing/>
    </w:pPr>
    <w:rPr/>
  </w:style>
  <w:style w:type="paragraph" w:styleId="Style20">
    <w:name w:val="Содержимое врезки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Application>LibreOffice/4.3.4.1$Windows_x86 LibreOffice_project/bc356b2f991740509f321d70e4512a6a54c5f243</Application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2017-01-18T07:43:00Z</dcterms:created>
  <dc:creator>Revkin Valentin</dc:creator>
  <dc:language>ru-RU</dc:language>
  <cp:lastPrinted>2017-04-25T12:12:54Z</cp:lastPrinted>
  <dcterms:modified xsi:type="dcterms:W3CDTF">2017-04-25T12:13:10Z</dcterms:modified>
  <cp:revision>4</cp:revision>
</cp:coreProperties>
</file>