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4519" w:type="dxa"/>
        <w:jc w:val="righ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1020"/>
        <w:gridCol w:w="8055"/>
        <w:gridCol w:w="5444"/>
      </w:tblGrid>
      <w:tr>
        <w:trPr/>
        <w:tc>
          <w:tcPr>
            <w:tcW w:w="1451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</w:pPr>
            <w:r>
              <w:rPr>
                <w:b/>
                <w:bCs/>
                <w:sz w:val="32"/>
                <w:szCs w:val="32"/>
              </w:rPr>
              <w:t>ПЛАН         РАБОТ     НА    2015     ГОД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                               </w:t>
            </w:r>
            <w:r>
              <w:rPr/>
              <w:t>(</w:t>
            </w:r>
            <w:r>
              <w:rPr>
                <w:i/>
                <w:iCs/>
                <w:sz w:val="22"/>
                <w:szCs w:val="22"/>
              </w:rPr>
              <w:t>утвержден общим собранием членов ТСЖ 14 мая 2015г</w:t>
            </w:r>
            <w:r>
              <w:rPr>
                <w:i/>
                <w:iCs/>
              </w:rPr>
              <w:t>)</w:t>
            </w:r>
            <w:r>
              <w:rPr/>
              <w:t xml:space="preserve"> </w:t>
            </w:r>
            <w:r/>
          </w:p>
        </w:tc>
      </w:tr>
      <w:tr>
        <w:trPr/>
        <w:tc>
          <w:tcPr>
            <w:tcW w:w="102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i/>
                <w:b/>
                <w:i/>
                <w:b/>
                <w:iCs/>
                <w:bCs/>
              </w:rPr>
            </w:pPr>
            <w:r>
              <w:rPr>
                <w:b/>
                <w:bCs/>
                <w:i/>
                <w:iCs/>
              </w:rPr>
              <w:t>№</w:t>
            </w:r>
            <w:r>
              <w:rPr>
                <w:b/>
                <w:bCs/>
                <w:i/>
                <w:iCs/>
              </w:rPr>
              <w:t>п/п</w:t>
            </w:r>
            <w:r/>
          </w:p>
        </w:tc>
        <w:tc>
          <w:tcPr>
            <w:tcW w:w="805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i/>
                <w:b/>
                <w:i/>
                <w:b/>
                <w:iCs/>
                <w:bCs/>
              </w:rPr>
            </w:pPr>
            <w:r>
              <w:rPr>
                <w:b/>
                <w:bCs/>
                <w:i/>
                <w:iCs/>
              </w:rPr>
              <w:t>наименование</w:t>
            </w:r>
            <w:r/>
          </w:p>
        </w:tc>
        <w:tc>
          <w:tcPr>
            <w:tcW w:w="54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i/>
                <w:b/>
                <w:i/>
                <w:b/>
                <w:iCs/>
                <w:bCs/>
              </w:rPr>
            </w:pPr>
            <w:r>
              <w:rPr>
                <w:b/>
                <w:bCs/>
                <w:i/>
                <w:iCs/>
              </w:rPr>
              <w:t>выполнение</w:t>
            </w:r>
            <w:r/>
          </w:p>
        </w:tc>
      </w:tr>
      <w:tr>
        <w:trPr/>
        <w:tc>
          <w:tcPr>
            <w:tcW w:w="102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rPr>
                <w:lang w:val="en-US"/>
              </w:rPr>
            </w:pPr>
            <w:r>
              <w:rPr>
                <w:lang w:val="en-US"/>
              </w:rPr>
              <w:t>1</w:t>
            </w:r>
            <w:r/>
          </w:p>
        </w:tc>
        <w:tc>
          <w:tcPr>
            <w:tcW w:w="805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rPr>
                <w:lang w:val="ru-RU"/>
              </w:rPr>
            </w:pPr>
            <w:r>
              <w:rPr>
                <w:lang w:val="ru-RU"/>
              </w:rPr>
              <w:t>Частичный ремонт системы пожаротушения</w:t>
            </w:r>
            <w:r/>
          </w:p>
        </w:tc>
        <w:tc>
          <w:tcPr>
            <w:tcW w:w="54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rPr/>
            </w:pPr>
            <w:r>
              <w:rPr/>
              <w:t>см. табл. «Целевые взносы 2015»,п.1.</w:t>
            </w:r>
            <w:r/>
          </w:p>
        </w:tc>
      </w:tr>
      <w:tr>
        <w:trPr/>
        <w:tc>
          <w:tcPr>
            <w:tcW w:w="102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rPr/>
            </w:pPr>
            <w:r>
              <w:rPr/>
              <w:t>2</w:t>
            </w:r>
            <w:r/>
          </w:p>
        </w:tc>
        <w:tc>
          <w:tcPr>
            <w:tcW w:w="805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rPr/>
            </w:pPr>
            <w:r>
              <w:rPr/>
              <w:t>Реорганизация и техническое переоснащение системы охраны(1-й этап)</w:t>
            </w:r>
            <w:r/>
          </w:p>
        </w:tc>
        <w:tc>
          <w:tcPr>
            <w:tcW w:w="54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</w:pP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10 декабря  начнутся пусконаладочные работы.</w:t>
            </w:r>
            <w:r/>
          </w:p>
        </w:tc>
      </w:tr>
      <w:tr>
        <w:trPr/>
        <w:tc>
          <w:tcPr>
            <w:tcW w:w="102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rPr/>
            </w:pPr>
            <w:r>
              <w:rPr/>
              <w:t>3</w:t>
            </w:r>
            <w:r/>
          </w:p>
        </w:tc>
        <w:tc>
          <w:tcPr>
            <w:tcW w:w="805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rPr/>
            </w:pPr>
            <w:r>
              <w:rPr/>
              <w:t>Ремонт холла</w:t>
            </w:r>
            <w:r/>
          </w:p>
        </w:tc>
        <w:tc>
          <w:tcPr>
            <w:tcW w:w="54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</w:pP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риентировочное  начало работ — 15 января 2016 года.</w:t>
            </w:r>
            <w:r/>
          </w:p>
        </w:tc>
      </w:tr>
      <w:tr>
        <w:trPr/>
        <w:tc>
          <w:tcPr>
            <w:tcW w:w="102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rPr/>
            </w:pPr>
            <w:r>
              <w:rPr/>
              <w:t>4</w:t>
            </w:r>
            <w:r/>
          </w:p>
        </w:tc>
        <w:tc>
          <w:tcPr>
            <w:tcW w:w="805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rPr/>
            </w:pPr>
            <w:r>
              <w:rPr/>
              <w:t>Устройство пандуса для съезда колясок с детьми и инвалидов</w:t>
            </w:r>
            <w:r/>
          </w:p>
        </w:tc>
        <w:tc>
          <w:tcPr>
            <w:tcW w:w="54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rPr/>
            </w:pPr>
            <w:r>
              <w:rPr/>
              <w:t>выполнено</w:t>
            </w:r>
            <w:r/>
          </w:p>
        </w:tc>
      </w:tr>
      <w:tr>
        <w:trPr/>
        <w:tc>
          <w:tcPr>
            <w:tcW w:w="102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rPr/>
            </w:pPr>
            <w:r>
              <w:rPr/>
              <w:t>5</w:t>
            </w:r>
            <w:r/>
          </w:p>
        </w:tc>
        <w:tc>
          <w:tcPr>
            <w:tcW w:w="805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rPr/>
            </w:pPr>
            <w:r>
              <w:rPr/>
              <w:t>Модернизация насосной станции нижней зоны ХВС</w:t>
            </w:r>
            <w:r/>
          </w:p>
        </w:tc>
        <w:tc>
          <w:tcPr>
            <w:tcW w:w="54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rPr/>
            </w:pPr>
            <w:r>
              <w:rPr/>
              <w:t>выполнено</w:t>
            </w:r>
            <w:r/>
          </w:p>
        </w:tc>
      </w:tr>
      <w:tr>
        <w:trPr/>
        <w:tc>
          <w:tcPr>
            <w:tcW w:w="102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rPr/>
            </w:pPr>
            <w:r>
              <w:rPr/>
              <w:t>6</w:t>
            </w:r>
            <w:r/>
          </w:p>
        </w:tc>
        <w:tc>
          <w:tcPr>
            <w:tcW w:w="805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rPr/>
            </w:pPr>
            <w:r>
              <w:rPr/>
              <w:t>Разработка и утверждение проекта ИТП-1.Подготовка к модернизации.</w:t>
            </w:r>
            <w:r/>
          </w:p>
        </w:tc>
        <w:tc>
          <w:tcPr>
            <w:tcW w:w="54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</w:pPr>
            <w:r>
              <w:rPr/>
              <w:t>п</w:t>
            </w:r>
            <w:r>
              <w:rPr/>
              <w:t xml:space="preserve">роект утвержден </w:t>
            </w:r>
            <w:r>
              <w:rPr/>
              <w:t>Теплосетью.</w:t>
            </w:r>
            <w:r/>
          </w:p>
        </w:tc>
      </w:tr>
      <w:tr>
        <w:trPr/>
        <w:tc>
          <w:tcPr>
            <w:tcW w:w="102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rPr/>
            </w:pPr>
            <w:r>
              <w:rPr/>
              <w:t>7</w:t>
            </w:r>
            <w:r/>
          </w:p>
        </w:tc>
        <w:tc>
          <w:tcPr>
            <w:tcW w:w="805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rPr/>
            </w:pPr>
            <w:r>
              <w:rPr/>
              <w:t>Гидроизоляция крыши 11-го этажа башни А.</w:t>
            </w:r>
            <w:r/>
          </w:p>
        </w:tc>
        <w:tc>
          <w:tcPr>
            <w:tcW w:w="54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rPr/>
            </w:pPr>
            <w:r>
              <w:rPr/>
              <w:t>выполнено</w:t>
            </w:r>
            <w:r/>
          </w:p>
        </w:tc>
      </w:tr>
      <w:tr>
        <w:trPr/>
        <w:tc>
          <w:tcPr>
            <w:tcW w:w="102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rPr/>
            </w:pPr>
            <w:r>
              <w:rPr/>
              <w:t>8</w:t>
            </w:r>
            <w:r/>
          </w:p>
        </w:tc>
        <w:tc>
          <w:tcPr>
            <w:tcW w:w="805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rPr/>
            </w:pPr>
            <w:r>
              <w:rPr/>
              <w:t>Частичная гидроизоляция и переборка фасадов дома.</w:t>
            </w:r>
            <w:r/>
          </w:p>
        </w:tc>
        <w:tc>
          <w:tcPr>
            <w:tcW w:w="54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</w:pPr>
            <w:r>
              <w:rPr/>
              <w:t>в</w:t>
            </w:r>
            <w:r>
              <w:rPr/>
              <w:t xml:space="preserve">ыполнено: </w:t>
            </w:r>
            <w:r>
              <w:rPr/>
              <w:t>Замена фасадных стекол в башнях А,Б со стороны Бухарестской ул, полная переборка фасадного остекления башни Б со стороны пандуса.</w:t>
            </w:r>
            <w:r/>
          </w:p>
        </w:tc>
      </w:tr>
      <w:tr>
        <w:trPr/>
        <w:tc>
          <w:tcPr>
            <w:tcW w:w="102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rPr/>
            </w:pPr>
            <w:r>
              <w:rPr/>
              <w:t>9</w:t>
            </w:r>
            <w:r/>
          </w:p>
        </w:tc>
        <w:tc>
          <w:tcPr>
            <w:tcW w:w="805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rPr/>
            </w:pPr>
            <w:r>
              <w:rPr/>
              <w:t>Установка системы сбора данных по расходу ГВС и ХВС в квартирах.</w:t>
            </w:r>
            <w:r/>
          </w:p>
        </w:tc>
        <w:tc>
          <w:tcPr>
            <w:tcW w:w="54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rPr/>
            </w:pPr>
            <w:r>
              <w:rPr/>
              <w:t>выполнено</w:t>
            </w:r>
            <w:r/>
          </w:p>
        </w:tc>
      </w:tr>
      <w:tr>
        <w:trPr/>
        <w:tc>
          <w:tcPr>
            <w:tcW w:w="102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rPr/>
            </w:pPr>
            <w:r>
              <w:rPr/>
              <w:t>10</w:t>
            </w:r>
            <w:r/>
          </w:p>
        </w:tc>
        <w:tc>
          <w:tcPr>
            <w:tcW w:w="805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rPr/>
            </w:pPr>
            <w:r>
              <w:rPr/>
              <w:t>Окраска балконных ограждений пожарных лестниц и ферм переходов на 11-м и 24-м этажах</w:t>
            </w:r>
            <w:r/>
          </w:p>
        </w:tc>
        <w:tc>
          <w:tcPr>
            <w:tcW w:w="54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rPr/>
            </w:pPr>
            <w:r>
              <w:rPr/>
              <w:t>выполнено</w:t>
            </w:r>
            <w:r/>
          </w:p>
        </w:tc>
      </w:tr>
      <w:tr>
        <w:trPr/>
        <w:tc>
          <w:tcPr>
            <w:tcW w:w="102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rPr/>
            </w:pPr>
            <w:r>
              <w:rPr/>
              <w:t>11</w:t>
            </w:r>
            <w:r/>
          </w:p>
        </w:tc>
        <w:tc>
          <w:tcPr>
            <w:tcW w:w="805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rPr/>
            </w:pPr>
            <w:r>
              <w:rPr/>
              <w:t>Ремонт помещений охраны, правления ТСЖ, дворницкой.</w:t>
            </w:r>
            <w:r/>
          </w:p>
        </w:tc>
        <w:tc>
          <w:tcPr>
            <w:tcW w:w="54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</w:pPr>
            <w:r>
              <w:rPr/>
              <w:t>о</w:t>
            </w:r>
            <w:r>
              <w:rPr/>
              <w:t>тремонтированы помещения охраны и дворницкой.</w:t>
            </w:r>
            <w:r/>
          </w:p>
        </w:tc>
      </w:tr>
      <w:tr>
        <w:trPr/>
        <w:tc>
          <w:tcPr>
            <w:tcW w:w="102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rPr/>
            </w:pPr>
            <w:r>
              <w:rPr/>
              <w:t>12</w:t>
            </w:r>
            <w:r/>
          </w:p>
        </w:tc>
        <w:tc>
          <w:tcPr>
            <w:tcW w:w="805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rPr/>
            </w:pPr>
            <w:r>
              <w:rPr/>
              <w:t>Нанесение разметки и упорядочение стоянки а/м.</w:t>
            </w:r>
            <w:r/>
          </w:p>
        </w:tc>
        <w:tc>
          <w:tcPr>
            <w:tcW w:w="54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rPr/>
            </w:pPr>
            <w:r>
              <w:rPr/>
              <w:t>выполнено</w:t>
            </w:r>
            <w:r/>
          </w:p>
        </w:tc>
      </w:tr>
      <w:tr>
        <w:trPr/>
        <w:tc>
          <w:tcPr>
            <w:tcW w:w="102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rPr/>
            </w:pPr>
            <w:r>
              <w:rPr/>
              <w:t>13</w:t>
            </w:r>
            <w:r/>
          </w:p>
        </w:tc>
        <w:tc>
          <w:tcPr>
            <w:tcW w:w="805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rPr/>
            </w:pPr>
            <w:r>
              <w:rPr/>
              <w:t>Ремонт/замена въездных ворот  в паркинг</w:t>
            </w:r>
            <w:r/>
          </w:p>
        </w:tc>
        <w:tc>
          <w:tcPr>
            <w:tcW w:w="54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</w:pPr>
            <w:r>
              <w:rPr/>
              <w:t>в</w:t>
            </w:r>
            <w:r>
              <w:rPr/>
              <w:t>ыполнено .</w:t>
            </w:r>
            <w:r>
              <w:rPr/>
              <w:t>Замена не требуется, заключен договор на ежеквартальное обслуживание ворот.</w:t>
            </w:r>
            <w:r/>
          </w:p>
        </w:tc>
      </w:tr>
      <w:tr>
        <w:trPr/>
        <w:tc>
          <w:tcPr>
            <w:tcW w:w="102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rPr/>
            </w:pPr>
            <w:r>
              <w:rPr/>
              <w:t>14</w:t>
            </w:r>
            <w:r/>
          </w:p>
        </w:tc>
        <w:tc>
          <w:tcPr>
            <w:tcW w:w="805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rPr/>
            </w:pPr>
            <w:r>
              <w:rPr/>
              <w:t>Замена освещения в паркинге на светодиодное</w:t>
            </w:r>
            <w:r/>
          </w:p>
        </w:tc>
        <w:tc>
          <w:tcPr>
            <w:tcW w:w="54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rPr/>
            </w:pPr>
            <w:r>
              <w:rPr/>
              <w:t>выполнено</w:t>
            </w:r>
            <w:r/>
          </w:p>
        </w:tc>
      </w:tr>
    </w:tbl>
    <w:p>
      <w:pPr>
        <w:pStyle w:val="Normal"/>
      </w:pPr>
      <w:r>
        <w:rPr/>
      </w:r>
      <w:r/>
    </w:p>
    <w:p>
      <w:pPr>
        <w:pStyle w:val="Normal"/>
      </w:pPr>
      <w:r>
        <w:rPr/>
      </w:r>
      <w:r/>
    </w:p>
    <w:p>
      <w:pPr>
        <w:pStyle w:val="Normal"/>
      </w:pPr>
      <w:r>
        <w:rPr/>
      </w:r>
      <w:r/>
    </w:p>
    <w:p>
      <w:pPr>
        <w:pStyle w:val="Normal"/>
      </w:pPr>
      <w:r>
        <w:rPr/>
      </w:r>
      <w:r/>
    </w:p>
    <w:p>
      <w:pPr>
        <w:pStyle w:val="Normal"/>
        <w:rPr/>
      </w:pPr>
      <w:r>
        <w:rPr/>
        <w:t>Правление ТСЖ «Твин Пикс»                                                                                                       23 ноября 2015г.</w:t>
      </w:r>
      <w:r/>
    </w:p>
    <w:sectPr>
      <w:type w:val="nextPage"/>
      <w:pgSz w:orient="landscape" w:w="16838" w:h="11906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4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pPr>
      <w:widowControl w:val="false"/>
      <w:suppressAutoHyphens w:val="true"/>
      <w:kinsoku w:val="true"/>
      <w:overflowPunct w:val="true"/>
      <w:autoSpaceDE w:val="true"/>
      <w:bidi w:val="0"/>
    </w:pPr>
    <w:rPr>
      <w:rFonts w:ascii="Liberation Serif" w:hAnsi="Liberation Serif" w:eastAsia="SimSun" w:cs="Mangal"/>
      <w:color w:val="auto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Основной текст"/>
    <w:basedOn w:val="Normal"/>
    <w:pPr>
      <w:spacing w:lineRule="auto" w:line="288" w:before="0" w:after="140"/>
    </w:pPr>
    <w:rPr/>
  </w:style>
  <w:style w:type="paragraph" w:styleId="Style16">
    <w:name w:val="Список"/>
    <w:basedOn w:val="Style15"/>
    <w:pPr/>
    <w:rPr>
      <w:rFonts w:cs="Mangal"/>
    </w:rPr>
  </w:style>
  <w:style w:type="paragraph" w:styleId="Style17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pPr>
      <w:suppressLineNumbers/>
    </w:pPr>
    <w:rPr>
      <w:rFonts w:cs="Mangal"/>
    </w:rPr>
  </w:style>
  <w:style w:type="paragraph" w:styleId="Style19">
    <w:name w:val="Содержимое таблицы"/>
    <w:basedOn w:val="Normal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4732</TotalTime>
  <Application>LibreOffice/4.3.4.1$Windows_x86 LibreOffice_project/bc356b2f991740509f321d70e4512a6a54c5f243</Application>
  <Paragraphs>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2015-11-23T11:48:58Z</dcterms:created>
  <dc:language>ru-RU</dc:language>
  <dcterms:modified xsi:type="dcterms:W3CDTF">2015-11-23T19:07:50Z</dcterms:modified>
  <cp:revision>3</cp:revision>
</cp:coreProperties>
</file>