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30" w:rsidRDefault="00C607DE">
      <w:pPr>
        <w:spacing w:after="1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ПОРЯДОК ПОЛЬЗОВАНИЯ ОТКРЫТОЙ ПАРКОВКОЙ</w:t>
      </w:r>
    </w:p>
    <w:p w:rsidR="00435730" w:rsidRDefault="00C607DE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многоквартирного дома, расположенного по адресу</w:t>
      </w:r>
    </w:p>
    <w:p w:rsidR="00435730" w:rsidRDefault="00C607DE">
      <w:pPr>
        <w:spacing w:after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Санкт-Петербург, ул. Бухарестская, 110, корпус 1</w:t>
      </w:r>
    </w:p>
    <w:p w:rsidR="00435730" w:rsidRDefault="00435730">
      <w:pPr>
        <w:spacing w:after="120"/>
        <w:jc w:val="center"/>
        <w:rPr>
          <w:rFonts w:ascii="Cambria" w:hAnsi="Cambria"/>
          <w:b/>
        </w:rPr>
      </w:pPr>
    </w:p>
    <w:p w:rsidR="00435730" w:rsidRDefault="00C607DE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ВВОДНЫЕ ПОЛОЖЕНИЯ</w:t>
      </w:r>
    </w:p>
    <w:p w:rsidR="00435730" w:rsidRDefault="00C607DE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Настоящий Порядок регулирует отношения собственников помещений в многоквартирном доме (далее – Собственники), расположенном по адресу Санкт-Петербург, ул. Бухарестская, 110, корпус 1 (далее – Многоквартирный дом) по пользованию общим имуществом, а именно – открытой парковкой, расположенной на пандусе Многоквартирного дома (далее – Открытая парковка), соответствующее целевое назначение которой предусмотрено проектной документацией Многоквартирного дома.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Настоящий Порядок не ограничивает права Собственников по пользованию земельным участком, прилегающим к Многоквартирному дому, поскольку Открытая парковка располагается на части эксплуатируемой кровли над техническими помещениями Многоквартирного дома.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Целью настоящего Порядка является организация благоприятного и безопасного пользования Открытой парковкой и обеспечение ее надлежащего содержания.</w:t>
      </w:r>
    </w:p>
    <w:p w:rsidR="00435730" w:rsidRDefault="00C607DE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Настоящий Порядок, а также все изменения к нему принимаются на общем собрании Собственников. Документом, подтверждающим принятие настоящего Порядка, является протокол общего собрания Собственников. Текст настоящего порядка, принятый на общем собрании Собственников заверяется подписями председателем и секретарём общего собрания Собственников, которым он утвержден.</w:t>
      </w:r>
    </w:p>
    <w:p w:rsidR="00435730" w:rsidRDefault="00435730">
      <w:pPr>
        <w:pStyle w:val="a9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435730" w:rsidRDefault="00C607DE">
      <w:pPr>
        <w:spacing w:before="60" w:after="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ОРГАНИЗАЦИЯ СТОЯНКИ, ВЪЕЗДА И ВЫЕЗДА</w:t>
      </w:r>
    </w:p>
    <w:p w:rsidR="00435730" w:rsidRDefault="00C607DE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Въезд на Открытую парковку осуществляется через шлагбаум (далее – Шлагбаум), открывание которого регулируется специальными брелоками (далее – Брелоки).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Брелоки выдаются Собственникам в ТСЖ «Твин </w:t>
      </w:r>
      <w:proofErr w:type="spellStart"/>
      <w:r>
        <w:rPr>
          <w:rFonts w:ascii="Cambria" w:hAnsi="Cambria"/>
          <w:sz w:val="24"/>
          <w:szCs w:val="24"/>
        </w:rPr>
        <w:t>Пикс</w:t>
      </w:r>
      <w:proofErr w:type="spellEnd"/>
      <w:r>
        <w:rPr>
          <w:rFonts w:ascii="Cambria" w:hAnsi="Cambria"/>
          <w:sz w:val="24"/>
          <w:szCs w:val="24"/>
        </w:rPr>
        <w:t>», управляющем Многоквартирным домом по заявлению таких Собственников.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Количество Брелоков ограничивается двумя на квартиру или нежилое помещение в Многоквартирном доме. Собственник, в собственности которого имеется два и более помещений в Многоквартирном доме не получает право на большее, чем два, количество Брелоков.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Если помещение в Многоквартирном доме принадлежит нескольким Собственникам, количество Брелоков не увеличивается на каждого Собственника. Такие Собственники самостоятельно между собой достигают соглашения о том, кто будет пользоваться Брелоками. Взаимоотношения Собственников одного помещения в Многоквартирном доме между собой не регулируются настоящим Порядком, за исключением ограничения количества Брелоков настоящим пунктом.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 проезде через Шлагбаум Открытой парковки по Брелоку автоматически фиксируется время въезда и выезда.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Въезд на Открытую парковку ограничивается количеством парковочных мест на ней.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Перед въездом на Открытую парковку Собственнику предоставляется информация о наличии или отсутствии свободных мест на Открытой парковке. 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Собственник имеет право въезда на Открытую парковку только в том случае, если на ней имеется свободное место для стоянки его автотранспортного средства. 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При необходимости доставки-вывоза стройматериалов, мебели, мусора пользователь Открытой парковки на позднее, чем за один рабочий день до предполагаемого события оставляет заявку на въезд в ТСЖ «Твин </w:t>
      </w:r>
      <w:proofErr w:type="spellStart"/>
      <w:r>
        <w:rPr>
          <w:rFonts w:ascii="Cambria" w:hAnsi="Cambria"/>
          <w:sz w:val="24"/>
          <w:szCs w:val="24"/>
        </w:rPr>
        <w:t>Пикс</w:t>
      </w:r>
      <w:proofErr w:type="spellEnd"/>
      <w:r>
        <w:rPr>
          <w:rFonts w:ascii="Cambria" w:hAnsi="Cambria"/>
          <w:sz w:val="24"/>
          <w:szCs w:val="24"/>
        </w:rPr>
        <w:t>», которое осуществляет управление Многоквартирным домом, и пользуется Открытой парковкой только при наличии такой заявки.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При отсутствии свободных мест на Открытой парковке и без получения разрешения, указанного в пункте 13 настоящего Порядка, допускается въезд автотранспортных средств экстренных служб</w:t>
      </w:r>
      <w:r w:rsidRPr="00C607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без ограничения времени. </w:t>
      </w:r>
    </w:p>
    <w:p w:rsidR="00435730" w:rsidRDefault="00C607DE">
      <w:pPr>
        <w:pStyle w:val="a9"/>
        <w:numPr>
          <w:ilvl w:val="0"/>
          <w:numId w:val="1"/>
        </w:numPr>
        <w:spacing w:after="0"/>
        <w:ind w:left="0" w:hanging="35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Стоянка автотранспортных средств и их движение на Открытой парковке осуществляется в соответствии с разметкой на ней.</w:t>
      </w:r>
    </w:p>
    <w:p w:rsidR="00435730" w:rsidRDefault="00435730">
      <w:pPr>
        <w:spacing w:before="60" w:after="60"/>
        <w:jc w:val="center"/>
        <w:rPr>
          <w:rFonts w:ascii="Cambria" w:hAnsi="Cambria"/>
          <w:b/>
          <w:sz w:val="24"/>
          <w:szCs w:val="24"/>
        </w:rPr>
      </w:pPr>
    </w:p>
    <w:p w:rsidR="00435730" w:rsidRDefault="00C607DE">
      <w:pPr>
        <w:spacing w:before="60" w:after="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РАСПРЕДЕЛЕНИЕ ЗАТРАТ НА СОДЕРЖАНИЕ ОТКРЫТОЙ ПАРКОВКИ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Открытая парковка, являясь общим имуществом, по ее целевому назначению – стоянки автотранспортных средств – используется частью Собственников с ограничениями по времени и количеству, указанному в разделе «Организация стоянки, въезда и выезда».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 целью справедливого распределения затрат на содержание Открытой парковки настоящим Порядком устанавливается порядок распределения таких затрат пропорционально фактическому времени пользования Собственниками Открытой парковкой по ее целевому назначению.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Собственникам, не осуществляющим хранение автотранспортных средств на Открытой парковке или осуществляющим их хранение не более трех часов в текущие сутки, не начисляются возмещение расходов на содержание Открытой парковки в соответствии с настоящим Порядком, что не исключает его обязанности в содержании иного общего имущества Собственников в Многоквартирном доме.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Собственникам, осуществляющим хранение автотранспортных средств на Открытой парковке более, чем три часа в текущие сутки, начисляется за эти сутки плата за содержание Открытой парковки (далее – Плата за сутки).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Плата за все сутки пользования Открытой парковкой в течение соответствующего месяца начисляется ТСЖ «Твин </w:t>
      </w:r>
      <w:proofErr w:type="spellStart"/>
      <w:r>
        <w:rPr>
          <w:rFonts w:ascii="Cambria" w:hAnsi="Cambria"/>
          <w:sz w:val="24"/>
          <w:szCs w:val="24"/>
        </w:rPr>
        <w:t>Пикс</w:t>
      </w:r>
      <w:proofErr w:type="spellEnd"/>
      <w:r>
        <w:rPr>
          <w:rFonts w:ascii="Cambria" w:hAnsi="Cambria"/>
          <w:sz w:val="24"/>
          <w:szCs w:val="24"/>
        </w:rPr>
        <w:t>», управляющим Многоквартирным домом, одновременно с начислением платы за жилищные и коммунальные услуги Собственникам.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Размер платы составляет 100 рублей в сутки. Пользование Открытой парковк</w:t>
      </w:r>
      <w:r w:rsidR="0013162C">
        <w:rPr>
          <w:rFonts w:ascii="Cambria" w:hAnsi="Cambria"/>
          <w:sz w:val="24"/>
          <w:szCs w:val="24"/>
        </w:rPr>
        <w:t>ой в соответствии с пунктами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13, 14 настоящего Порядка осуществляется без начисления платы.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ТСЖ «Твин </w:t>
      </w:r>
      <w:proofErr w:type="spellStart"/>
      <w:r>
        <w:rPr>
          <w:rFonts w:ascii="Cambria" w:hAnsi="Cambria"/>
          <w:sz w:val="24"/>
          <w:szCs w:val="24"/>
        </w:rPr>
        <w:t>Пикс</w:t>
      </w:r>
      <w:proofErr w:type="spellEnd"/>
      <w:r>
        <w:rPr>
          <w:rFonts w:ascii="Cambria" w:hAnsi="Cambria"/>
          <w:sz w:val="24"/>
          <w:szCs w:val="24"/>
        </w:rPr>
        <w:t>», управляющее Многоквартирным домом, использует полученные в соответствии с настоящим Порядком от Собственников денежные средства на содержание общего имущества Собственников, в частности, на обеспечение ремонта Открытой парковки, надлежащей эксплуатации ворот, шлагбаума Открытой парковки, организацию разметки Открытой парковки, контроль за исполнением настоящего Порядка.</w:t>
      </w:r>
    </w:p>
    <w:p w:rsidR="00435730" w:rsidRDefault="00435730">
      <w:pPr>
        <w:pStyle w:val="a9"/>
        <w:spacing w:before="60" w:after="60"/>
        <w:ind w:left="0"/>
        <w:jc w:val="center"/>
        <w:rPr>
          <w:rFonts w:ascii="Cambria" w:hAnsi="Cambria"/>
          <w:b/>
          <w:sz w:val="24"/>
          <w:szCs w:val="24"/>
        </w:rPr>
      </w:pPr>
    </w:p>
    <w:p w:rsidR="00435730" w:rsidRDefault="00C607DE">
      <w:pPr>
        <w:pStyle w:val="a9"/>
        <w:spacing w:before="60" w:after="60"/>
        <w:ind w:left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ОТВЕТСТВЕННОСТЬ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 нарушение настоящего Порядка Собственник несет ответственность, предусмотренную настоящим разделом, в том числе, в случае, если фактически Порядок нарушен иными лицами, пользующимися Открытой парковкой с разрешения такого Собственника, а именно, въехавшего на Открытую парковку по его Брелоку.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Собственнику, допустившему нарушение пунктов с 5 по 11 и пункта 15 настоящего Порядка, блокируется въезд на Открытую парковку на срок до тридцати календарных дней со дня, когда такое нарушение было допущено. Срок, предусмотренный настоящим пунктом начинает течь с момента фактической блокировки въезда.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Собственнику, допустившему нарушение обязанности по оплате пользования Открытой парковкой, в частности, не оплатившему в течение 10 дней с момента получения на адрес принадлежащего ему в Многоквартирном доме помещения, блокируется въезд на Открытую парковку до момента полного погашения такой задолженности.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ТСЖ «Твин </w:t>
      </w:r>
      <w:proofErr w:type="spellStart"/>
      <w:r>
        <w:rPr>
          <w:rFonts w:ascii="Cambria" w:hAnsi="Cambria"/>
          <w:sz w:val="24"/>
          <w:szCs w:val="24"/>
        </w:rPr>
        <w:t>Пикс</w:t>
      </w:r>
      <w:proofErr w:type="spellEnd"/>
      <w:r>
        <w:rPr>
          <w:rFonts w:ascii="Cambria" w:hAnsi="Cambria"/>
          <w:sz w:val="24"/>
          <w:szCs w:val="24"/>
        </w:rPr>
        <w:t>» вправе заблокировать въезд на Открытую парковку владельцам автотранспортных средств, нарушившим пункты 12, 13 настоящего Порядка.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Ответственность, предусмотренная настоящим Порядком, не исключает предусмотренной законом ответственности.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Правомочие действовать в защиту исполнения настоящего Порядка, в том числе право на обращение в суд, принадлежит ТСЖ «Твин </w:t>
      </w:r>
      <w:proofErr w:type="spellStart"/>
      <w:r>
        <w:rPr>
          <w:rFonts w:ascii="Cambria" w:hAnsi="Cambria"/>
          <w:sz w:val="24"/>
          <w:szCs w:val="24"/>
        </w:rPr>
        <w:t>Пикс</w:t>
      </w:r>
      <w:proofErr w:type="spellEnd"/>
      <w:r>
        <w:rPr>
          <w:rFonts w:ascii="Cambria" w:hAnsi="Cambria"/>
          <w:sz w:val="24"/>
          <w:szCs w:val="24"/>
        </w:rPr>
        <w:t xml:space="preserve">», осуществляющему управление </w:t>
      </w:r>
      <w:r>
        <w:rPr>
          <w:rFonts w:ascii="Cambria" w:hAnsi="Cambria"/>
          <w:sz w:val="24"/>
          <w:szCs w:val="24"/>
        </w:rPr>
        <w:lastRenderedPageBreak/>
        <w:t>Многоквартирным домом, за исключением случаев, предусмотренных пунктом 29 настоящего Порядка.</w:t>
      </w:r>
    </w:p>
    <w:p w:rsidR="00435730" w:rsidRDefault="00C607DE">
      <w:pPr>
        <w:pStyle w:val="a9"/>
        <w:numPr>
          <w:ilvl w:val="0"/>
          <w:numId w:val="1"/>
        </w:numPr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Владелец автотранспортного средства, причинивший вред другим автотранспортным средствам или вред здоровью и моральный вред лицам, находящимся на парковке, отвечает за такой вред непосредственно перед лицами, которым или имуществу которых причинен вред. ТСЖ «Твин </w:t>
      </w:r>
      <w:proofErr w:type="spellStart"/>
      <w:r>
        <w:rPr>
          <w:rFonts w:ascii="Cambria" w:hAnsi="Cambria"/>
          <w:sz w:val="24"/>
          <w:szCs w:val="24"/>
        </w:rPr>
        <w:t>Пикс</w:t>
      </w:r>
      <w:proofErr w:type="spellEnd"/>
      <w:r>
        <w:rPr>
          <w:rFonts w:ascii="Cambria" w:hAnsi="Cambria"/>
          <w:sz w:val="24"/>
          <w:szCs w:val="24"/>
        </w:rPr>
        <w:t>», управляющее Многоквартирным домом, не отвечает за причинение вреда, указанного в настоящем пункте.</w:t>
      </w:r>
    </w:p>
    <w:p w:rsidR="00435730" w:rsidRDefault="00435730">
      <w:pPr>
        <w:pStyle w:val="a9"/>
        <w:ind w:left="426"/>
        <w:jc w:val="both"/>
        <w:rPr>
          <w:rFonts w:ascii="Cambria" w:hAnsi="Cambria"/>
          <w:sz w:val="28"/>
          <w:szCs w:val="28"/>
        </w:rPr>
      </w:pPr>
    </w:p>
    <w:p w:rsidR="00435730" w:rsidRDefault="00435730">
      <w:pPr>
        <w:pStyle w:val="a9"/>
        <w:ind w:left="426"/>
        <w:jc w:val="both"/>
        <w:rPr>
          <w:rFonts w:ascii="Cambria" w:hAnsi="Cambria"/>
        </w:rPr>
      </w:pPr>
    </w:p>
    <w:p w:rsidR="00435730" w:rsidRDefault="00C607DE">
      <w:pPr>
        <w:pStyle w:val="a9"/>
        <w:spacing w:after="0"/>
        <w:ind w:left="0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УТВЕРЖДЕНО</w:t>
      </w:r>
    </w:p>
    <w:p w:rsidR="00435730" w:rsidRDefault="00435730">
      <w:pPr>
        <w:pStyle w:val="a9"/>
        <w:spacing w:after="0"/>
        <w:ind w:left="0"/>
        <w:jc w:val="right"/>
        <w:rPr>
          <w:rFonts w:ascii="Cambria" w:hAnsi="Cambria"/>
          <w:b/>
          <w:sz w:val="24"/>
          <w:szCs w:val="24"/>
        </w:rPr>
      </w:pPr>
    </w:p>
    <w:p w:rsidR="00435730" w:rsidRDefault="00C607DE">
      <w:pPr>
        <w:pStyle w:val="a9"/>
        <w:spacing w:after="0"/>
        <w:ind w:left="0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Общим собранием собственников многоквартирного дома,</w:t>
      </w:r>
    </w:p>
    <w:p w:rsidR="00435730" w:rsidRDefault="00C607DE">
      <w:pPr>
        <w:spacing w:after="0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расположенного по адресу Санкт-Петербург, ул. Бухарестская, 110, корпус 1</w:t>
      </w:r>
    </w:p>
    <w:p w:rsidR="00435730" w:rsidRDefault="00C607DE">
      <w:pPr>
        <w:pStyle w:val="a9"/>
        <w:ind w:left="426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Протокол общего собрания от «______» __________________ 2015 г.</w:t>
      </w:r>
    </w:p>
    <w:p w:rsidR="00435730" w:rsidRDefault="00435730">
      <w:pPr>
        <w:pStyle w:val="a9"/>
        <w:ind w:left="426"/>
        <w:jc w:val="right"/>
        <w:rPr>
          <w:rFonts w:ascii="Cambria" w:hAnsi="Cambria"/>
          <w:sz w:val="24"/>
          <w:szCs w:val="24"/>
        </w:rPr>
      </w:pPr>
    </w:p>
    <w:p w:rsidR="00435730" w:rsidRDefault="00435730">
      <w:pPr>
        <w:pStyle w:val="a9"/>
        <w:ind w:left="426"/>
        <w:jc w:val="right"/>
        <w:rPr>
          <w:rFonts w:ascii="Cambria" w:hAnsi="Cambria"/>
          <w:b/>
          <w:sz w:val="24"/>
          <w:szCs w:val="24"/>
        </w:rPr>
      </w:pPr>
    </w:p>
    <w:p w:rsidR="00435730" w:rsidRDefault="00C607DE">
      <w:pPr>
        <w:pStyle w:val="a9"/>
        <w:ind w:left="426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Председатель собрания________________________________/________________________</w:t>
      </w:r>
    </w:p>
    <w:p w:rsidR="00435730" w:rsidRDefault="00435730">
      <w:pPr>
        <w:pStyle w:val="a9"/>
        <w:ind w:left="426"/>
        <w:jc w:val="right"/>
        <w:rPr>
          <w:rFonts w:ascii="Cambria" w:hAnsi="Cambria"/>
          <w:b/>
          <w:sz w:val="24"/>
          <w:szCs w:val="24"/>
        </w:rPr>
      </w:pPr>
    </w:p>
    <w:p w:rsidR="00435730" w:rsidRDefault="00435730">
      <w:pPr>
        <w:pStyle w:val="a9"/>
        <w:ind w:left="426"/>
        <w:jc w:val="right"/>
        <w:rPr>
          <w:rFonts w:ascii="Cambria" w:hAnsi="Cambria"/>
          <w:b/>
          <w:sz w:val="24"/>
          <w:szCs w:val="24"/>
        </w:rPr>
      </w:pPr>
    </w:p>
    <w:p w:rsidR="00435730" w:rsidRDefault="00C607DE">
      <w:pPr>
        <w:pStyle w:val="a9"/>
        <w:ind w:left="426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Секретарь собрания________________________________/________________________</w:t>
      </w:r>
    </w:p>
    <w:p w:rsidR="00435730" w:rsidRDefault="00435730">
      <w:pPr>
        <w:pStyle w:val="a9"/>
        <w:ind w:left="426"/>
        <w:jc w:val="right"/>
      </w:pPr>
    </w:p>
    <w:sectPr w:rsidR="00435730">
      <w:pgSz w:w="11906" w:h="16838"/>
      <w:pgMar w:top="426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E64AB"/>
    <w:multiLevelType w:val="multilevel"/>
    <w:tmpl w:val="5ADAF5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7F7718"/>
    <w:multiLevelType w:val="multilevel"/>
    <w:tmpl w:val="7068AA72"/>
    <w:lvl w:ilvl="0">
      <w:start w:val="1"/>
      <w:numFmt w:val="decimal"/>
      <w:lvlText w:val="%1."/>
      <w:lvlJc w:val="left"/>
      <w:pPr>
        <w:ind w:left="3338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30"/>
    <w:rsid w:val="0013162C"/>
    <w:rsid w:val="00435730"/>
    <w:rsid w:val="00C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72E89-1EEE-4B23-A1BF-337A9E9E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4576F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763D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4576F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Одоев</dc:creator>
  <cp:lastModifiedBy>Владелец</cp:lastModifiedBy>
  <cp:revision>4</cp:revision>
  <cp:lastPrinted>2015-11-06T11:29:00Z</cp:lastPrinted>
  <dcterms:created xsi:type="dcterms:W3CDTF">2015-11-13T18:39:00Z</dcterms:created>
  <dcterms:modified xsi:type="dcterms:W3CDTF">2015-11-26T19:11:00Z</dcterms:modified>
  <dc:language>ru-RU</dc:language>
</cp:coreProperties>
</file>