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1"/>
          <w:b/>
          <w:sz w:val="21"/>
          <w:b/>
          <w:szCs w:val="21"/>
          <w:bCs/>
          <w:rFonts w:ascii="Times New Roman" w:hAnsi="Times New Roman" w:eastAsia="SimSun" w:cs="Mangal"/>
          <w:color w:val="00000A"/>
          <w:lang w:val="ru-RU" w:eastAsia="zh-CN" w:bidi="hi-IN"/>
        </w:rPr>
      </w:pPr>
      <w:r>
        <w:rPr>
          <w:rFonts w:ascii="Times New Roman" w:hAnsi="Times New Roman"/>
          <w:b/>
          <w:bCs/>
          <w:sz w:val="21"/>
          <w:szCs w:val="21"/>
        </w:rPr>
        <w:t xml:space="preserve">УВЕДОМЛЕНИЕ </w:t>
      </w:r>
      <w:r/>
    </w:p>
    <w:p>
      <w:pPr>
        <w:pStyle w:val="ConsNonformat"/>
        <w:widowControl/>
        <w:ind w:left="0" w:right="0" w:hanging="0"/>
        <w:jc w:val="center"/>
      </w:pPr>
      <w:r>
        <w:rPr>
          <w:rFonts w:cs="Times New Roman" w:ascii="Times New Roman" w:hAnsi="Times New Roman"/>
          <w:b/>
          <w:bCs/>
          <w:sz w:val="21"/>
          <w:szCs w:val="21"/>
        </w:rPr>
        <w:t xml:space="preserve">О ПРИНЯТЫХ РЕШЕНИЯХ НА ОБЩЕМ СОБРАНИИ </w:t>
      </w:r>
      <w:r>
        <w:rPr>
          <w:rFonts w:eastAsia="Times New Roman" w:cs="Times New Roman" w:ascii="Times New Roman" w:hAnsi="Times New Roman"/>
          <w:b/>
          <w:bCs/>
          <w:color w:val="00000A"/>
          <w:sz w:val="21"/>
          <w:szCs w:val="21"/>
          <w:lang w:val="ru-RU" w:bidi="ar-SA"/>
        </w:rPr>
        <w:t>СОБСТВЕННИКОВ</w:t>
      </w:r>
      <w:r/>
    </w:p>
    <w:p>
      <w:pPr>
        <w:pStyle w:val="Normal"/>
        <w:widowControl/>
        <w:ind w:left="0" w:right="0" w:hanging="0"/>
        <w:jc w:val="both"/>
        <w:rPr>
          <w:sz w:val="21"/>
          <w:b w:val="false"/>
          <w:sz w:val="21"/>
          <w:b w:val="false"/>
          <w:szCs w:val="21"/>
          <w:bCs w:val="false"/>
          <w:rFonts w:ascii="Times New Roman" w:hAnsi="Times New Roman" w:eastAsia="SimSun" w:cs="Times New Roman"/>
          <w:color w:val="00000A"/>
          <w:lang w:val="ru-RU" w:eastAsia="zh-CN" w:bidi="hi-IN"/>
        </w:rPr>
      </w:pPr>
      <w:r>
        <w:rPr>
          <w:rFonts w:eastAsia="SimSun" w:cs="Times New Roman" w:ascii="Times New Roman" w:hAnsi="Times New Roman"/>
          <w:b w:val="false"/>
          <w:bCs w:val="false"/>
          <w:color w:val="00000A"/>
          <w:sz w:val="21"/>
          <w:szCs w:val="21"/>
          <w:lang w:val="ru-RU" w:eastAsia="zh-CN" w:bidi="hi-IN"/>
        </w:rPr>
      </w:r>
      <w:r/>
    </w:p>
    <w:p>
      <w:pPr>
        <w:pStyle w:val="ConsNonformat"/>
        <w:widowControl/>
        <w:ind w:left="0" w:right="0" w:hanging="0"/>
        <w:jc w:val="left"/>
      </w:pPr>
      <w:r>
        <w:rPr>
          <w:rFonts w:cs="Times New Roman" w:ascii="Times New Roman" w:hAnsi="Times New Roman"/>
          <w:b w:val="false"/>
          <w:bCs w:val="false"/>
          <w:sz w:val="21"/>
          <w:szCs w:val="21"/>
        </w:rPr>
        <w:t xml:space="preserve">Уважаемые собственники!     С 19 мая 2016 г. по 30 мая 2016г состоялось общее собрание собственников помещений в многоквартирном доме № 110,корп.1 по ул. Бухарестская, г. Санкт-Петербург в форме очно-заочного голосования  </w:t>
      </w:r>
      <w:r/>
    </w:p>
    <w:p>
      <w:pPr>
        <w:pStyle w:val="ConsNonformat"/>
        <w:widowControl/>
        <w:ind w:left="0" w:right="0" w:hanging="0"/>
        <w:jc w:val="both"/>
      </w:pPr>
      <w:r>
        <w:rPr>
          <w:rFonts w:cs="Times New Roman" w:ascii="Times New Roman" w:hAnsi="Times New Roman"/>
          <w:b w:val="false"/>
          <w:bCs w:val="false"/>
          <w:sz w:val="21"/>
          <w:szCs w:val="21"/>
        </w:rPr>
        <w:t xml:space="preserve">Инициатор собрания: правление ТСЖ «Твин Пикс».     </w:t>
      </w:r>
      <w:r/>
    </w:p>
    <w:p>
      <w:pPr>
        <w:pStyle w:val="ConsNonformat"/>
        <w:widowControl/>
        <w:ind w:left="0" w:right="0" w:hanging="0"/>
        <w:jc w:val="both"/>
      </w:pPr>
      <w:r>
        <w:rPr>
          <w:rFonts w:cs="Times New Roman" w:ascii="Times New Roman" w:hAnsi="Times New Roman"/>
          <w:b/>
          <w:bCs/>
          <w:sz w:val="21"/>
          <w:szCs w:val="21"/>
        </w:rPr>
        <w:t>Были рассмотрены следующие вопросы повестки дня собрания:</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rPr>
          <w:rFonts w:ascii="Times New Roman" w:hAnsi="Times New Roman"/>
          <w:b w:val="false"/>
          <w:bCs w:val="false"/>
          <w:sz w:val="21"/>
          <w:szCs w:val="21"/>
        </w:rPr>
        <w:t xml:space="preserve">Процедурные вопросы. Избрание председателя и секретаря собрания. </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rPr>
          <w:rFonts w:ascii="Times New Roman" w:hAnsi="Times New Roman"/>
          <w:b w:val="false"/>
          <w:bCs w:val="false"/>
          <w:sz w:val="21"/>
          <w:szCs w:val="21"/>
        </w:rPr>
        <w:t xml:space="preserve">Принятие решения о расторжении трехстороннего договора между ТГК1-Эллис-ТСЖ о прямых платежах за тепловую энергию. </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rPr>
          <w:rFonts w:ascii="Times New Roman" w:hAnsi="Times New Roman"/>
          <w:b w:val="false"/>
          <w:bCs w:val="false"/>
          <w:sz w:val="21"/>
          <w:szCs w:val="21"/>
        </w:rPr>
        <w:t xml:space="preserve">Утверждение порядка передачи собственниками помещений показаний индивидуальных приборов учета. </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rPr>
          <w:rFonts w:ascii="Times New Roman" w:hAnsi="Times New Roman"/>
          <w:b w:val="false"/>
          <w:bCs w:val="false"/>
          <w:sz w:val="21"/>
          <w:szCs w:val="21"/>
        </w:rPr>
        <w:t xml:space="preserve">Утверждение целевых взносов на 2016-2017г. </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rPr>
          <w:rFonts w:ascii="Times New Roman" w:hAnsi="Times New Roman"/>
          <w:b w:val="false"/>
          <w:bCs w:val="false"/>
          <w:sz w:val="21"/>
          <w:szCs w:val="21"/>
        </w:rPr>
        <w:t>Принятие решения о распределении объема коммунальных услуг в размере превышения объема коммунальных услуг, предоставленных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коммунальных услуг, предоставленных на общедомовые нужды, между всеми жилыми и нежилыми помещениями пропорционально размеру общей площади каждого жилого и нежилого помещения.</w:t>
      </w:r>
      <w:r/>
    </w:p>
    <w:p>
      <w:pPr>
        <w:pStyle w:val="Style20"/>
        <w:numPr>
          <w:ilvl w:val="0"/>
          <w:numId w:val="1"/>
        </w:numPr>
        <w:spacing w:before="0" w:after="0"/>
        <w:jc w:val="both"/>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Принятие решения о предоставлении ТСЖ «Твин Пикс» права на обращение в суд за судебной защитой прав и законных интересов собственников помещений в МКД. </w:t>
      </w:r>
      <w:r/>
    </w:p>
    <w:p>
      <w:pPr>
        <w:pStyle w:val="Normal"/>
        <w:widowControl/>
        <w:ind w:left="0" w:right="0" w:hanging="0"/>
        <w:jc w:val="both"/>
      </w:pPr>
      <w:r>
        <w:rPr>
          <w:rFonts w:cs="Times New Roman" w:ascii="Times New Roman" w:hAnsi="Times New Roman"/>
          <w:b w:val="false"/>
          <w:bCs w:val="false"/>
          <w:color w:val="000000"/>
          <w:sz w:val="21"/>
          <w:szCs w:val="21"/>
        </w:rPr>
        <w:t xml:space="preserve">Представлены решения собственников помещений, обладающих жилыми и нежилыми помещениями общей площадью </w:t>
      </w:r>
      <w:r>
        <w:rPr>
          <w:rFonts w:cs="Times New Roman" w:ascii="Times New Roman" w:hAnsi="Times New Roman"/>
          <w:b w:val="false"/>
          <w:bCs w:val="false"/>
          <w:color w:val="000000"/>
          <w:sz w:val="21"/>
          <w:szCs w:val="21"/>
          <w:shd w:fill="FFFFFF" w:val="clear"/>
        </w:rPr>
        <w:t>16689,37 кв.м (голосов)</w:t>
      </w:r>
      <w:r>
        <w:rPr>
          <w:rFonts w:cs="Times New Roman" w:ascii="Times New Roman" w:hAnsi="Times New Roman"/>
          <w:b w:val="false"/>
          <w:bCs w:val="false"/>
          <w:color w:val="000000"/>
          <w:sz w:val="21"/>
          <w:szCs w:val="21"/>
        </w:rPr>
        <w:t>, что составляет 58,10</w:t>
      </w:r>
      <w:r>
        <w:rPr>
          <w:rFonts w:cs="Times New Roman" w:ascii="Times New Roman" w:hAnsi="Times New Roman"/>
          <w:b w:val="false"/>
          <w:bCs w:val="false"/>
          <w:color w:val="000000"/>
          <w:sz w:val="21"/>
          <w:szCs w:val="21"/>
          <w:shd w:fill="FFFFFF" w:val="clear"/>
        </w:rPr>
        <w:t xml:space="preserve"> %</w:t>
      </w:r>
      <w:r>
        <w:rPr>
          <w:rFonts w:cs="Times New Roman" w:ascii="Times New Roman" w:hAnsi="Times New Roman"/>
          <w:b w:val="false"/>
          <w:bCs w:val="false"/>
          <w:color w:val="000000"/>
          <w:sz w:val="21"/>
          <w:szCs w:val="21"/>
        </w:rPr>
        <w:t xml:space="preserve"> площади жилых и нежилых помещений в многоквартирном доме.</w:t>
      </w:r>
      <w:r/>
    </w:p>
    <w:p>
      <w:pPr>
        <w:pStyle w:val="Style15"/>
        <w:widowControl/>
        <w:ind w:left="0" w:right="0" w:hanging="0"/>
        <w:jc w:val="center"/>
      </w:pPr>
      <w:r>
        <w:rPr>
          <w:rFonts w:cs="Times New Roman" w:ascii="Times New Roman" w:hAnsi="Times New Roman"/>
          <w:b/>
          <w:bCs/>
          <w:sz w:val="21"/>
          <w:szCs w:val="21"/>
        </w:rPr>
        <w:t>ПРИНЯТЫЕ РЕШЕНИЯ</w:t>
      </w:r>
      <w:r>
        <w:rPr>
          <w:rFonts w:cs="Times New Roman" w:ascii="Times New Roman" w:hAnsi="Times New Roman"/>
          <w:b w:val="false"/>
          <w:bCs w:val="false"/>
          <w:sz w:val="21"/>
          <w:szCs w:val="21"/>
        </w:rPr>
        <w:t xml:space="preserve"> :</w:t>
      </w:r>
      <w:r/>
    </w:p>
    <w:p>
      <w:pPr>
        <w:pStyle w:val="Style15"/>
        <w:widowControl/>
        <w:ind w:left="0" w:right="0" w:hanging="0"/>
        <w:jc w:val="both"/>
      </w:pPr>
      <w:r>
        <w:rPr>
          <w:rFonts w:eastAsia="Times New Roman" w:cs="Times New Roman" w:ascii="Times New Roman" w:hAnsi="Times New Roman"/>
          <w:b/>
          <w:bCs/>
          <w:color w:val="00000A"/>
          <w:sz w:val="21"/>
          <w:szCs w:val="21"/>
          <w:lang w:val="ru-RU" w:bidi="ar-SA"/>
        </w:rPr>
        <w:t>1.</w:t>
      </w:r>
      <w:r>
        <w:rPr>
          <w:rFonts w:eastAsia="Times New Roman" w:cs="Times New Roman" w:ascii="Times New Roman" w:hAnsi="Times New Roman"/>
          <w:b w:val="false"/>
          <w:bCs w:val="false"/>
          <w:color w:val="00000A"/>
          <w:sz w:val="21"/>
          <w:szCs w:val="21"/>
          <w:lang w:val="ru-RU" w:bidi="ar-SA"/>
        </w:rPr>
        <w:t>Расторгнуть трехсторонний договор между ТГК-1, Эллис и ТСЖ о прямых платежах за тепловую энергию, отказаться от отдельной квитанции по тепловой энергии, платеж включить в общую квитанцию.</w:t>
      </w:r>
      <w:r/>
    </w:p>
    <w:p>
      <w:pPr>
        <w:pStyle w:val="Style15"/>
        <w:widowControl/>
        <w:ind w:left="0" w:right="0" w:hanging="0"/>
        <w:jc w:val="both"/>
      </w:pPr>
      <w:r>
        <w:rPr>
          <w:rFonts w:eastAsia="Times New Roman" w:cs="Times New Roman" w:ascii="Times New Roman" w:hAnsi="Times New Roman"/>
          <w:b/>
          <w:bCs/>
          <w:color w:val="00000A"/>
          <w:sz w:val="21"/>
          <w:szCs w:val="21"/>
          <w:lang w:val="ru-RU" w:bidi="ar-SA"/>
        </w:rPr>
        <w:t>2</w:t>
      </w:r>
      <w:r>
        <w:rPr>
          <w:rFonts w:eastAsia="Times New Roman" w:cs="Times New Roman" w:ascii="Times New Roman" w:hAnsi="Times New Roman"/>
          <w:b w:val="false"/>
          <w:bCs w:val="false"/>
          <w:color w:val="00000A"/>
          <w:sz w:val="21"/>
          <w:szCs w:val="21"/>
          <w:lang w:val="ru-RU" w:bidi="ar-SA"/>
        </w:rPr>
        <w:t>.Утвердить порядок передачи собственниками помещений показаний ИПУ</w:t>
      </w:r>
      <w:r/>
    </w:p>
    <w:p>
      <w:pPr>
        <w:pStyle w:val="Style15"/>
        <w:widowControl/>
        <w:ind w:left="0" w:right="0" w:hanging="0"/>
        <w:jc w:val="both"/>
      </w:pPr>
      <w:r>
        <w:rPr>
          <w:rFonts w:eastAsia="Times New Roman" w:cs="Times New Roman" w:ascii="Times New Roman" w:hAnsi="Times New Roman"/>
          <w:b/>
          <w:bCs/>
          <w:color w:val="00000A"/>
          <w:sz w:val="21"/>
          <w:szCs w:val="21"/>
          <w:lang w:val="ru-RU" w:bidi="ar-SA"/>
        </w:rPr>
        <w:t>3</w:t>
      </w:r>
      <w:r>
        <w:rPr>
          <w:rFonts w:eastAsia="Times New Roman" w:cs="Times New Roman" w:ascii="Times New Roman" w:hAnsi="Times New Roman"/>
          <w:b w:val="false"/>
          <w:bCs w:val="false"/>
          <w:color w:val="00000A"/>
          <w:sz w:val="21"/>
          <w:szCs w:val="21"/>
          <w:lang w:val="ru-RU" w:bidi="ar-SA"/>
        </w:rPr>
        <w:t>.Утвердить целевые взносы на 2016-2017г. в размере 20 руб/м</w:t>
      </w:r>
      <w:r>
        <w:rPr>
          <w:rFonts w:eastAsia="Times New Roman" w:cs="Times New Roman" w:ascii="Times New Roman" w:hAnsi="Times New Roman"/>
          <w:b w:val="false"/>
          <w:bCs w:val="false"/>
          <w:color w:val="00000A"/>
          <w:sz w:val="21"/>
          <w:szCs w:val="21"/>
          <w:vertAlign w:val="superscript"/>
          <w:lang w:val="ru-RU" w:bidi="ar-SA"/>
        </w:rPr>
        <w:t>2</w:t>
      </w:r>
      <w:r>
        <w:rPr>
          <w:rFonts w:eastAsia="Times New Roman" w:cs="Times New Roman" w:ascii="Times New Roman" w:hAnsi="Times New Roman"/>
          <w:b w:val="false"/>
          <w:bCs w:val="false"/>
          <w:color w:val="00000A"/>
          <w:sz w:val="21"/>
          <w:szCs w:val="21"/>
          <w:lang w:val="ru-RU" w:bidi="ar-SA"/>
        </w:rPr>
        <w:t xml:space="preserve"> в месяц на 12 месяцев с 01  июля 2016г. по 30 июня 2017г. с включением в квитанцию на оплату ЖКУ, из них:</w:t>
      </w:r>
      <w:r/>
    </w:p>
    <w:p>
      <w:pPr>
        <w:pStyle w:val="Normal"/>
        <w:jc w:val="both"/>
      </w:pPr>
      <w:r>
        <w:rPr>
          <w:rFonts w:ascii="Times New Roman" w:hAnsi="Times New Roman"/>
          <w:b w:val="false"/>
          <w:bCs w:val="false"/>
          <w:color w:val="000000"/>
          <w:spacing w:val="-5"/>
          <w:sz w:val="21"/>
          <w:szCs w:val="21"/>
        </w:rPr>
        <w:t xml:space="preserve">       </w:t>
      </w:r>
      <w:r>
        <w:rPr>
          <w:rFonts w:ascii="Times New Roman" w:hAnsi="Times New Roman"/>
          <w:b/>
          <w:bCs/>
          <w:color w:val="000000"/>
          <w:spacing w:val="-5"/>
          <w:sz w:val="21"/>
          <w:szCs w:val="21"/>
        </w:rPr>
        <w:t>а)</w:t>
      </w:r>
      <w:r>
        <w:rPr>
          <w:rFonts w:ascii="Times New Roman" w:hAnsi="Times New Roman"/>
          <w:b w:val="false"/>
          <w:bCs w:val="false"/>
          <w:color w:val="000000"/>
          <w:spacing w:val="-5"/>
          <w:sz w:val="21"/>
          <w:szCs w:val="21"/>
        </w:rPr>
        <w:t>. Восстановление системы пожарной безопасности - второй этап. Сумма 1000000 руб. Ежемесячный платеж 2,90 руб/ м</w:t>
      </w:r>
      <w:r>
        <w:rPr>
          <w:rFonts w:ascii="Times New Roman" w:hAnsi="Times New Roman"/>
          <w:b w:val="false"/>
          <w:bCs w:val="false"/>
          <w:color w:val="000000"/>
          <w:spacing w:val="-5"/>
          <w:sz w:val="21"/>
          <w:szCs w:val="21"/>
          <w:vertAlign w:val="superscript"/>
        </w:rPr>
        <w:t>2</w:t>
      </w:r>
      <w:r>
        <w:rPr>
          <w:rFonts w:ascii="Times New Roman" w:hAnsi="Times New Roman"/>
          <w:b w:val="false"/>
          <w:bCs w:val="false"/>
          <w:color w:val="000000"/>
          <w:spacing w:val="-5"/>
          <w:sz w:val="21"/>
          <w:szCs w:val="21"/>
        </w:rPr>
        <w:t>.</w:t>
      </w:r>
      <w:r/>
    </w:p>
    <w:p>
      <w:pPr>
        <w:pStyle w:val="Normal"/>
        <w:jc w:val="both"/>
      </w:pPr>
      <w:r>
        <w:rPr>
          <w:rFonts w:ascii="Times New Roman" w:hAnsi="Times New Roman"/>
          <w:b w:val="false"/>
          <w:bCs w:val="false"/>
          <w:color w:val="000000"/>
          <w:spacing w:val="-5"/>
          <w:sz w:val="21"/>
          <w:szCs w:val="21"/>
        </w:rPr>
        <w:t xml:space="preserve">     </w:t>
      </w:r>
      <w:r>
        <w:rPr>
          <w:rFonts w:ascii="Times New Roman" w:hAnsi="Times New Roman"/>
          <w:b/>
          <w:bCs/>
          <w:color w:val="000000"/>
          <w:spacing w:val="-5"/>
          <w:sz w:val="21"/>
          <w:szCs w:val="21"/>
        </w:rPr>
        <w:t>б</w:t>
      </w:r>
      <w:r>
        <w:rPr>
          <w:rFonts w:ascii="Times New Roman" w:hAnsi="Times New Roman"/>
          <w:b w:val="false"/>
          <w:bCs w:val="false"/>
          <w:color w:val="000000"/>
          <w:spacing w:val="-5"/>
          <w:sz w:val="21"/>
          <w:szCs w:val="21"/>
        </w:rPr>
        <w:t>). Ремонтные работы по фасадному остеклению - одна сторона башни «А». Сумма  950000 руб. Ежемесячный платеж 2,75 руб/м</w:t>
      </w:r>
      <w:r>
        <w:rPr>
          <w:rFonts w:ascii="Times New Roman" w:hAnsi="Times New Roman"/>
          <w:b w:val="false"/>
          <w:bCs w:val="false"/>
          <w:color w:val="000000"/>
          <w:spacing w:val="-5"/>
          <w:sz w:val="21"/>
          <w:szCs w:val="21"/>
          <w:vertAlign w:val="superscript"/>
        </w:rPr>
        <w:t>2</w:t>
      </w:r>
      <w:r>
        <w:rPr>
          <w:rFonts w:ascii="Times New Roman" w:hAnsi="Times New Roman"/>
          <w:b w:val="false"/>
          <w:bCs w:val="false"/>
          <w:color w:val="000000"/>
          <w:spacing w:val="-5"/>
          <w:sz w:val="21"/>
          <w:szCs w:val="21"/>
        </w:rPr>
        <w:t>.</w:t>
      </w:r>
      <w:r/>
    </w:p>
    <w:p>
      <w:pPr>
        <w:pStyle w:val="Normal"/>
        <w:jc w:val="both"/>
      </w:pPr>
      <w:r>
        <w:rPr>
          <w:rFonts w:ascii="Times New Roman" w:hAnsi="Times New Roman"/>
          <w:b w:val="false"/>
          <w:bCs w:val="false"/>
          <w:color w:val="000000"/>
          <w:spacing w:val="-5"/>
          <w:sz w:val="21"/>
          <w:szCs w:val="21"/>
        </w:rPr>
        <w:t xml:space="preserve">           </w:t>
      </w:r>
      <w:r>
        <w:rPr>
          <w:rFonts w:ascii="Times New Roman" w:hAnsi="Times New Roman"/>
          <w:b/>
          <w:bCs/>
          <w:color w:val="000000"/>
          <w:spacing w:val="-5"/>
          <w:sz w:val="21"/>
          <w:szCs w:val="21"/>
        </w:rPr>
        <w:t>в</w:t>
      </w:r>
      <w:r>
        <w:rPr>
          <w:rFonts w:ascii="Times New Roman" w:hAnsi="Times New Roman"/>
          <w:b w:val="false"/>
          <w:bCs w:val="false"/>
          <w:color w:val="000000"/>
          <w:spacing w:val="-5"/>
          <w:sz w:val="21"/>
          <w:szCs w:val="21"/>
        </w:rPr>
        <w:t>). Ремонт холла-помещения около лифтов и почтовых ящиков. Сумма 1200000 руб. Ежемесячный платеж 3,45 руб/м</w:t>
      </w:r>
      <w:r>
        <w:rPr>
          <w:rFonts w:ascii="Times New Roman" w:hAnsi="Times New Roman"/>
          <w:b w:val="false"/>
          <w:bCs w:val="false"/>
          <w:color w:val="000000"/>
          <w:spacing w:val="-5"/>
          <w:sz w:val="21"/>
          <w:szCs w:val="21"/>
          <w:vertAlign w:val="superscript"/>
        </w:rPr>
        <w:t>2</w:t>
      </w:r>
      <w:r>
        <w:rPr>
          <w:rFonts w:ascii="Times New Roman" w:hAnsi="Times New Roman"/>
          <w:b w:val="false"/>
          <w:bCs w:val="false"/>
          <w:color w:val="000000"/>
          <w:spacing w:val="-5"/>
          <w:sz w:val="21"/>
          <w:szCs w:val="21"/>
        </w:rPr>
        <w:t>.</w:t>
      </w:r>
      <w:r/>
    </w:p>
    <w:p>
      <w:pPr>
        <w:pStyle w:val="Normal"/>
        <w:jc w:val="both"/>
      </w:pPr>
      <w:r>
        <w:rPr>
          <w:rFonts w:ascii="Times New Roman" w:hAnsi="Times New Roman"/>
          <w:b w:val="false"/>
          <w:bCs w:val="false"/>
          <w:color w:val="000000"/>
          <w:spacing w:val="-5"/>
          <w:sz w:val="21"/>
          <w:szCs w:val="21"/>
        </w:rPr>
        <w:t xml:space="preserve">            </w:t>
      </w:r>
      <w:r>
        <w:rPr>
          <w:rFonts w:ascii="Times New Roman" w:hAnsi="Times New Roman"/>
          <w:b/>
          <w:bCs/>
          <w:color w:val="000000"/>
          <w:spacing w:val="-5"/>
          <w:sz w:val="21"/>
          <w:szCs w:val="21"/>
        </w:rPr>
        <w:t>г</w:t>
      </w:r>
      <w:r>
        <w:rPr>
          <w:rFonts w:ascii="Times New Roman" w:hAnsi="Times New Roman"/>
          <w:b w:val="false"/>
          <w:bCs w:val="false"/>
          <w:color w:val="000000"/>
          <w:spacing w:val="-5"/>
          <w:sz w:val="21"/>
          <w:szCs w:val="21"/>
        </w:rPr>
        <w:t>) Запуск двух лифтов, по одному в каждой башне. Сумма 450000 руб. Ежемесячный платеж 1,30 руб/м</w:t>
      </w:r>
      <w:r>
        <w:rPr>
          <w:rFonts w:ascii="Times New Roman" w:hAnsi="Times New Roman"/>
          <w:b w:val="false"/>
          <w:bCs w:val="false"/>
          <w:color w:val="000000"/>
          <w:spacing w:val="-5"/>
          <w:sz w:val="21"/>
          <w:szCs w:val="21"/>
          <w:vertAlign w:val="superscript"/>
        </w:rPr>
        <w:t>2</w:t>
      </w:r>
      <w:r>
        <w:rPr>
          <w:rFonts w:ascii="Times New Roman" w:hAnsi="Times New Roman"/>
          <w:b w:val="false"/>
          <w:bCs w:val="false"/>
          <w:color w:val="000000"/>
          <w:spacing w:val="-5"/>
          <w:sz w:val="21"/>
          <w:szCs w:val="21"/>
        </w:rPr>
        <w:t>.</w:t>
      </w:r>
      <w:r/>
    </w:p>
    <w:p>
      <w:pPr>
        <w:pStyle w:val="Normal"/>
        <w:jc w:val="both"/>
      </w:pPr>
      <w:r>
        <w:rPr>
          <w:rFonts w:ascii="Times New Roman" w:hAnsi="Times New Roman"/>
          <w:b w:val="false"/>
          <w:bCs w:val="false"/>
          <w:color w:val="000000"/>
          <w:spacing w:val="-5"/>
          <w:sz w:val="21"/>
          <w:szCs w:val="21"/>
        </w:rPr>
        <w:t xml:space="preserve">       </w:t>
      </w:r>
      <w:r>
        <w:rPr>
          <w:rFonts w:ascii="Times New Roman" w:hAnsi="Times New Roman"/>
          <w:b/>
          <w:bCs/>
          <w:color w:val="000000"/>
          <w:spacing w:val="-5"/>
          <w:sz w:val="21"/>
          <w:szCs w:val="21"/>
        </w:rPr>
        <w:t>д</w:t>
      </w:r>
      <w:r>
        <w:rPr>
          <w:rFonts w:ascii="Times New Roman" w:hAnsi="Times New Roman"/>
          <w:b w:val="false"/>
          <w:bCs w:val="false"/>
          <w:color w:val="000000"/>
          <w:spacing w:val="-5"/>
          <w:sz w:val="21"/>
          <w:szCs w:val="21"/>
        </w:rPr>
        <w:t>). Ремонт пандуса, являющегося одновременно крышей паркинга. Сумма 3000000 руб. Ежемесячный платеж 8,50 руб/м</w:t>
      </w:r>
      <w:r>
        <w:rPr>
          <w:rFonts w:ascii="Times New Roman" w:hAnsi="Times New Roman"/>
          <w:b w:val="false"/>
          <w:bCs w:val="false"/>
          <w:color w:val="000000"/>
          <w:spacing w:val="-5"/>
          <w:sz w:val="21"/>
          <w:szCs w:val="21"/>
          <w:vertAlign w:val="superscript"/>
        </w:rPr>
        <w:t>2</w:t>
      </w:r>
      <w:r>
        <w:rPr>
          <w:rFonts w:ascii="Times New Roman" w:hAnsi="Times New Roman"/>
          <w:b w:val="false"/>
          <w:bCs w:val="false"/>
          <w:color w:val="000000"/>
          <w:spacing w:val="-5"/>
          <w:sz w:val="21"/>
          <w:szCs w:val="21"/>
        </w:rPr>
        <w:t>.</w:t>
      </w:r>
      <w:r/>
    </w:p>
    <w:p>
      <w:pPr>
        <w:pStyle w:val="Style15"/>
        <w:widowControl/>
        <w:ind w:left="0" w:right="0" w:hanging="0"/>
        <w:jc w:val="both"/>
      </w:pPr>
      <w:r>
        <w:rPr>
          <w:rFonts w:eastAsia="Times New Roman" w:cs="Times New Roman" w:ascii="Times New Roman" w:hAnsi="Times New Roman"/>
          <w:b w:val="false"/>
          <w:bCs w:val="false"/>
          <w:color w:val="000000"/>
          <w:spacing w:val="-5"/>
          <w:sz w:val="21"/>
          <w:szCs w:val="21"/>
          <w:lang w:val="ru-RU" w:bidi="ar-SA"/>
        </w:rPr>
        <w:t xml:space="preserve">            </w:t>
      </w:r>
      <w:r>
        <w:rPr>
          <w:rFonts w:eastAsia="Times New Roman" w:cs="Times New Roman" w:ascii="Times New Roman" w:hAnsi="Times New Roman"/>
          <w:b/>
          <w:bCs/>
          <w:color w:val="000000"/>
          <w:spacing w:val="-5"/>
          <w:sz w:val="21"/>
          <w:szCs w:val="21"/>
          <w:lang w:val="ru-RU" w:bidi="ar-SA"/>
        </w:rPr>
        <w:t>е)</w:t>
      </w:r>
      <w:r>
        <w:rPr>
          <w:rFonts w:eastAsia="Times New Roman" w:cs="Times New Roman" w:ascii="Times New Roman" w:hAnsi="Times New Roman"/>
          <w:b w:val="false"/>
          <w:bCs w:val="false"/>
          <w:color w:val="000000"/>
          <w:spacing w:val="-5"/>
          <w:sz w:val="21"/>
          <w:szCs w:val="21"/>
          <w:lang w:val="ru-RU" w:bidi="ar-SA"/>
        </w:rPr>
        <w:t>. Теплоизоляция труб ГВС. Сумма 400000 руб. Ежемесячный платеж 1,15руб/м</w:t>
      </w:r>
      <w:r>
        <w:rPr>
          <w:rFonts w:eastAsia="Times New Roman" w:cs="Times New Roman" w:ascii="Times New Roman" w:hAnsi="Times New Roman"/>
          <w:b w:val="false"/>
          <w:bCs w:val="false"/>
          <w:color w:val="000000"/>
          <w:spacing w:val="-5"/>
          <w:sz w:val="21"/>
          <w:szCs w:val="21"/>
          <w:vertAlign w:val="superscript"/>
          <w:lang w:val="ru-RU" w:bidi="ar-SA"/>
        </w:rPr>
        <w:t>2</w:t>
      </w:r>
      <w:r>
        <w:rPr>
          <w:rFonts w:eastAsia="Times New Roman" w:cs="Times New Roman" w:ascii="Times New Roman" w:hAnsi="Times New Roman"/>
          <w:b w:val="false"/>
          <w:bCs w:val="false"/>
          <w:color w:val="000000"/>
          <w:spacing w:val="-5"/>
          <w:sz w:val="21"/>
          <w:szCs w:val="21"/>
          <w:lang w:val="ru-RU" w:bidi="ar-SA"/>
        </w:rPr>
        <w:t>.</w:t>
      </w:r>
      <w:r/>
    </w:p>
    <w:p>
      <w:pPr>
        <w:pStyle w:val="Style15"/>
        <w:widowControl/>
        <w:ind w:left="0" w:right="0" w:hanging="0"/>
        <w:jc w:val="both"/>
      </w:pPr>
      <w:r>
        <w:rPr>
          <w:rFonts w:eastAsia="Times New Roman" w:cs="Times New Roman" w:ascii="Times New Roman" w:hAnsi="Times New Roman"/>
          <w:b/>
          <w:bCs/>
          <w:color w:val="000000"/>
          <w:spacing w:val="-5"/>
          <w:sz w:val="21"/>
          <w:szCs w:val="21"/>
          <w:lang w:val="ru-RU" w:bidi="ar-SA"/>
        </w:rPr>
        <w:t>4</w:t>
      </w:r>
      <w:r>
        <w:rPr>
          <w:rFonts w:eastAsia="Times New Roman" w:cs="Times New Roman" w:ascii="Times New Roman" w:hAnsi="Times New Roman"/>
          <w:b w:val="false"/>
          <w:bCs w:val="false"/>
          <w:color w:val="000000"/>
          <w:spacing w:val="-5"/>
          <w:sz w:val="21"/>
          <w:szCs w:val="21"/>
          <w:lang w:val="ru-RU" w:bidi="ar-SA"/>
        </w:rPr>
        <w:t>.Распределять объём коммунальных услуг в размере превышения норматива объёма коммунальных услуг, предоставленных на общедомовые нужды между всеми жилыми и нежилыми помещениями пропорционально размеру общей площади каждого жилого и нежилого помещения.</w:t>
      </w:r>
      <w:r/>
    </w:p>
    <w:p>
      <w:pPr>
        <w:pStyle w:val="Style15"/>
        <w:widowControl/>
        <w:ind w:left="0" w:right="0" w:hanging="0"/>
        <w:jc w:val="both"/>
      </w:pPr>
      <w:r>
        <w:rPr>
          <w:rFonts w:eastAsia="Times New Roman" w:cs="Times New Roman" w:ascii="Times New Roman" w:hAnsi="Times New Roman"/>
          <w:b/>
          <w:bCs/>
          <w:color w:val="000000"/>
          <w:spacing w:val="-5"/>
          <w:sz w:val="21"/>
          <w:szCs w:val="21"/>
          <w:lang w:val="ru-RU" w:bidi="ar-SA"/>
        </w:rPr>
        <w:t>5</w:t>
      </w:r>
      <w:r>
        <w:rPr>
          <w:rFonts w:eastAsia="Times New Roman" w:cs="Times New Roman" w:ascii="Times New Roman" w:hAnsi="Times New Roman"/>
          <w:b w:val="false"/>
          <w:bCs w:val="false"/>
          <w:color w:val="000000"/>
          <w:spacing w:val="-5"/>
          <w:sz w:val="21"/>
          <w:szCs w:val="21"/>
          <w:lang w:val="ru-RU" w:bidi="ar-SA"/>
        </w:rPr>
        <w:t>.Предоставить ТСЖ «Твин Пикс» право на обращение в суд за судебной защитой прав и законных интересов собственников помещений в МКД.</w:t>
      </w:r>
      <w:r/>
    </w:p>
    <w:p>
      <w:pPr>
        <w:pStyle w:val="Normal"/>
        <w:widowControl/>
        <w:suppressAutoHyphens w:val="true"/>
        <w:ind w:hanging="0"/>
        <w:jc w:val="left"/>
      </w:pPr>
      <w:r>
        <w:rPr>
          <w:rFonts w:eastAsia="Times New Roman" w:cs="Times New Roman" w:ascii="Times New Roman" w:hAnsi="Times New Roman"/>
          <w:b w:val="false"/>
          <w:bCs w:val="false"/>
          <w:color w:val="00000A"/>
          <w:sz w:val="18"/>
          <w:szCs w:val="18"/>
          <w:lang w:val="ru-RU" w:bidi="ar-SA"/>
        </w:rPr>
        <w:t>Напоминаем Вам, что решение общего собрания, принятое в порядке, установленном Жилищным кодексом РФ, является обязательным для всех собственников помещений в многоквартирном доме, в том числе для тех, кто независимо от причин не принял участия в голосовании (ч.5ст. 46Жилищного кодекса РФ).</w:t>
      </w:r>
      <w:r/>
    </w:p>
    <w:p>
      <w:pPr>
        <w:pStyle w:val="Normal"/>
        <w:jc w:val="center"/>
      </w:pPr>
      <w:r>
        <w:rPr>
          <w:rFonts w:ascii="Times New Roman" w:hAnsi="Times New Roman"/>
          <w:b w:val="false"/>
          <w:bCs w:val="false"/>
          <w:sz w:val="21"/>
          <w:szCs w:val="21"/>
        </w:rPr>
        <w:t xml:space="preserve">                                                                                                                                           </w:t>
      </w:r>
      <w:r>
        <w:rPr>
          <w:rFonts w:ascii="Times New Roman" w:hAnsi="Times New Roman"/>
          <w:b w:val="false"/>
          <w:bCs w:val="false"/>
          <w:sz w:val="21"/>
          <w:szCs w:val="21"/>
        </w:rPr>
        <w:t>«</w:t>
      </w:r>
      <w:r>
        <w:rPr>
          <w:rFonts w:ascii="Times New Roman" w:hAnsi="Times New Roman"/>
          <w:b w:val="false"/>
          <w:bCs w:val="false"/>
          <w:sz w:val="21"/>
          <w:szCs w:val="21"/>
          <w:lang w:val="en-US"/>
        </w:rPr>
        <w:t>08</w:t>
      </w:r>
      <w:r>
        <w:rPr>
          <w:rFonts w:ascii="Times New Roman" w:hAnsi="Times New Roman"/>
          <w:b w:val="false"/>
          <w:bCs w:val="false"/>
          <w:sz w:val="21"/>
          <w:szCs w:val="21"/>
        </w:rPr>
        <w:t xml:space="preserve">» </w:t>
      </w:r>
      <w:r>
        <w:rPr>
          <w:rFonts w:ascii="Times New Roman" w:hAnsi="Times New Roman"/>
          <w:b w:val="false"/>
          <w:bCs w:val="false"/>
          <w:sz w:val="21"/>
          <w:szCs w:val="21"/>
          <w:lang w:val="ru-RU"/>
        </w:rPr>
        <w:t>июня</w:t>
      </w:r>
      <w:r>
        <w:rPr>
          <w:rFonts w:ascii="Times New Roman" w:hAnsi="Times New Roman"/>
          <w:b w:val="false"/>
          <w:bCs w:val="false"/>
          <w:sz w:val="21"/>
          <w:szCs w:val="21"/>
        </w:rPr>
        <w:t xml:space="preserve"> 2016г</w:t>
      </w:r>
      <w:r/>
    </w:p>
    <w:p>
      <w:pPr>
        <w:pStyle w:val="Normal"/>
        <w:jc w:val="center"/>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p>
    <w:p>
      <w:pPr>
        <w:pStyle w:val="Normal"/>
        <w:ind w:left="2124" w:right="0" w:firstLine="708"/>
        <w:rPr>
          <w:sz w:val="21"/>
          <w:b w:val="false"/>
          <w:sz w:val="21"/>
          <w:b w:val="false"/>
          <w:szCs w:val="21"/>
          <w:bCs w:val="false"/>
          <w:rFonts w:ascii="Times New Roman" w:hAnsi="Times New Roman" w:eastAsia="SimSun" w:cs="Mangal"/>
          <w:color w:val="00000A"/>
          <w:lang w:val="ru-RU" w:eastAsia="zh-CN" w:bidi="hi-IN"/>
        </w:rPr>
      </w:pPr>
      <w:r>
        <w:rPr>
          <w:rFonts w:ascii="Times New Roman" w:hAnsi="Times New Roman"/>
          <w:b w:val="false"/>
          <w:bCs w:val="false"/>
          <w:sz w:val="21"/>
          <w:szCs w:val="21"/>
        </w:rPr>
        <w:t xml:space="preserve">             </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SimSun" w:cs="Mangal"/>
      <w:color w:val="00000A"/>
      <w:sz w:val="24"/>
      <w:szCs w:val="24"/>
      <w:lang w:val="ru-RU" w:eastAsia="zh-CN" w:bidi="hi-IN"/>
    </w:rPr>
  </w:style>
  <w:style w:type="paragraph" w:styleId="1">
    <w:name w:val="Заголовок 1"/>
    <w:basedOn w:val="Style14"/>
    <w:pPr>
      <w:spacing w:before="240" w:after="120"/>
    </w:pPr>
    <w:rPr>
      <w:b/>
      <w:bCs/>
      <w:sz w:val="36"/>
      <w:szCs w:val="36"/>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Style13">
    <w:name w:val="Основной шрифт абзаца"/>
    <w:rPr/>
  </w:style>
  <w:style w:type="character" w:styleId="WWCharLFO1LVL2">
    <w:name w:val="WW_CharLFO1LVL2"/>
    <w:rPr>
      <w:sz w:val="22"/>
      <w:szCs w:val="22"/>
    </w:rPr>
  </w:style>
  <w:style w:type="character" w:styleId="ListLabel1">
    <w:name w:val="ListLabel 1"/>
    <w:rPr>
      <w:b/>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widowControl w:val="false"/>
      <w:suppressAutoHyphens w:val="true"/>
      <w:bidi w:val="0"/>
      <w:spacing w:lineRule="auto" w:line="288" w:before="0" w:after="140"/>
      <w:jc w:val="both"/>
    </w:pPr>
    <w:rPr>
      <w:rFonts w:ascii="Liberation Serif" w:hAnsi="Liberation Serif" w:eastAsia="SimSun" w:cs="Mangal"/>
      <w:b/>
      <w:color w:val="00000A"/>
      <w:sz w:val="24"/>
      <w:szCs w:val="24"/>
      <w:lang w:val="ru-RU" w:eastAsia="zh-CN" w:bidi="hi-IN"/>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ConsNonformat">
    <w:name w:val="ConsNonformat"/>
    <w:pPr>
      <w:widowControl w:val="false"/>
      <w:suppressAutoHyphens w:val="true"/>
      <w:overflowPunct w:val="true"/>
      <w:bidi w:val="0"/>
      <w:ind w:left="0" w:right="19772" w:hanging="0"/>
      <w:jc w:val="left"/>
    </w:pPr>
    <w:rPr>
      <w:rFonts w:ascii="Courier New" w:hAnsi="Courier New" w:eastAsia="Times New Roman" w:cs="Courier New"/>
      <w:color w:val="00000A"/>
      <w:sz w:val="20"/>
      <w:szCs w:val="20"/>
      <w:lang w:val="ru-RU" w:eastAsia="zh-CN" w:bidi="ar-SA"/>
    </w:rPr>
  </w:style>
  <w:style w:type="paragraph" w:styleId="LONormal">
    <w:name w:val="LO-Normal"/>
    <w:pPr>
      <w:widowControl/>
      <w:suppressAutoHyphens w:val="true"/>
      <w:overflowPunct w:val="true"/>
      <w:bidi w:val="0"/>
      <w:jc w:val="left"/>
    </w:pPr>
    <w:rPr>
      <w:rFonts w:ascii="Times New Roman" w:hAnsi="Times New Roman" w:eastAsia="Times New Roman" w:cs="Times New Roman"/>
      <w:color w:val="00000A"/>
      <w:sz w:val="20"/>
      <w:szCs w:val="20"/>
      <w:lang w:val="ru-RU" w:eastAsia="zh-CN" w:bidi="ar-SA"/>
    </w:rPr>
  </w:style>
  <w:style w:type="paragraph" w:styleId="Style19">
    <w:name w:val="Абзац списка"/>
    <w:basedOn w:val="Normal"/>
    <w:pPr>
      <w:suppressAutoHyphens w:val="true"/>
      <w:spacing w:before="0" w:after="160"/>
      <w:ind w:left="720" w:right="0" w:hanging="0"/>
    </w:pPr>
    <w:rPr/>
  </w:style>
  <w:style w:type="paragraph" w:styleId="Style20">
    <w:name w:val="Обычный (веб)"/>
    <w:basedOn w:val="Normal"/>
    <w:pPr>
      <w:spacing w:before="280" w:after="280"/>
    </w:pPr>
    <w:rPr/>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2179</TotalTime>
  <Application>LibreOffice/4.3.4.1$Windows_x86 LibreOffice_project/bc356b2f991740509f321d70e4512a6a54c5f243</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2015-05-20T10:58:57Z</dcterms:created>
  <dc:language>ru-RU</dc:language>
  <cp:lastPrinted>2015-05-20T11:50:55Z</cp:lastPrinted>
  <dcterms:modified xsi:type="dcterms:W3CDTF">2016-06-09T21:43:12Z</dcterms:modified>
  <cp:revision>7</cp:revision>
</cp:coreProperties>
</file>