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794"/>
        <w:gridCol w:w="6570"/>
        <w:gridCol w:w="7155"/>
      </w:tblGrid>
      <w:tr>
        <w:trPr/>
        <w:tc>
          <w:tcPr>
            <w:tcW w:w="145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sz w:val="36"/>
                <w:b/>
                <w:sz w:val="36"/>
                <w:b/>
                <w:szCs w:val="36"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ЦЕЛЕВЫЕ        ВЗНОСЫ               2015    ГОДА</w:t>
            </w:r>
            <w:r/>
          </w:p>
          <w:p>
            <w:pPr>
              <w:pStyle w:val="Style19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ремонт пожарной системы, реконструкцию охраны, ремонтные работы по фасадному остеклению и ремонт холла в размере 20,00(Двадцать)рублей /кв.м в месяц на 12(Двенадцать) месяцев, начиная с июля 2015г, с обязательным включением в квитанцию по оплате ЖКУ,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утверждены общим собранием 14.05.15)</w:t>
            </w:r>
            <w:r/>
          </w:p>
        </w:tc>
      </w:tr>
      <w:tr>
        <w:trPr>
          <w:trHeight w:val="311" w:hRule="atLeast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п/п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наименование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выполнение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ListParagraph"/>
              <w:ind w:left="0" w:right="0" w:hanging="0"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Восстановление пожарной системы, общая сумма 2 300 000руб:</w:t>
            </w:r>
            <w:r/>
          </w:p>
          <w:p>
            <w:pPr>
              <w:pStyle w:val="ListParagraph"/>
              <w:ind w:left="0" w:right="0" w:hanging="0"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а) Ремонт системы вентиляции и дымоудаления (2,00руб/м2)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б) Восстановление системы пожарного водопровода (4,00руб/м2)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в) АППЗ (1,00руб/м2)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0"/>
                <w:szCs w:val="20"/>
                <w:lang w:val="ru-RU" w:eastAsia="zh-CN" w:bidi="hi-IN"/>
              </w:rPr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0"/>
                <w:szCs w:val="20"/>
                <w:lang w:val="ru-RU" w:eastAsia="zh-CN" w:bidi="hi-IN"/>
              </w:rPr>
            </w:r>
            <w:r/>
          </w:p>
          <w:p>
            <w:pPr>
              <w:pStyle w:val="ListParagraph"/>
              <w:spacing w:before="0" w:after="160"/>
              <w:ind w:left="284" w:right="0" w:hanging="0"/>
              <w:contextualSpacing/>
              <w:rPr>
                <w:b/>
                <w:b/>
                <w:bCs/>
                <w:rFonts w:cs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а) Обследование системы вентиляции и дымоудаления проведено.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ru-RU"/>
              </w:rPr>
              <w:t xml:space="preserve">Определен предварительный объем финансирования для ее восстановления 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б) Произведено обследование системы пожарного водопровода с проектировщиками. Внесены необходимые изменения в проектную документацию. Произведена очистка техподполья паркинга для замены магистрального водопровода. Произведена замена магистрального пожарного водопровода в паркинге(170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),проложено недостающих труб 220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ru-RU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,соединен со  стояками в башнях, Установлены задвижки(10шт в паркинге и 17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ru-RU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стояках), установлены недостающие пожарные шкафы(15шт),установлены краны в шкафах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  <w:lang w:val="ru-RU"/>
              </w:rPr>
              <w:t>(246шт)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.Магистраль опрессована и готова к подаче воды. 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в) Откорректирован проект пожарной сигнализации. Составлено техзадание. Проверены все шлейфы, установлены недостающие приборы. Выполнен монтаж пожарной сигнализации на 1-м этаже. Обследованы и восстанавливается работоспособность клапанов дымоудаления на этажах.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Модернизация системы охраны МКД  (8,00руб/м2,  общая сумма  3 000 000руб)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0"/>
                <w:szCs w:val="20"/>
              </w:rPr>
              <w:t>Изготовлен проект. Проведен тендер. Заключен договор с ООО «Эльтон-Инжиниринг» на выполнение 1-го и 2-го этапов работ с оплатой в рассрочку на 12 месяцев. На 05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.05.16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оплачено 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2 081 000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уб . Устраняются замечания по исполнительной документации, подготовка к подписанию акта приема-передачи. </w:t>
            </w:r>
            <w:r/>
          </w:p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0"/>
                <w:szCs w:val="20"/>
                <w:lang w:val="ru-RU" w:eastAsia="zh-CN" w:bidi="hi-IN"/>
              </w:rPr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1"/>
                <w:sz w:val="21"/>
                <w:szCs w:val="21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Ремонтные работы по фасадному остеклению-одна сторона башни (2,50руб/м2, общая сумма 860 000руб)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фасадного остекления башни Б со стороны пандуса. Работы выполнены полностью и оплачены(880 000руб).Заменено  19 фасадных стекол, перебрано1800п.м. прижимных планок, проклеено 1800п.м. бутиловой ленты, установлено 6п.м. отсутствующих прижимных планок и 40п.м.декоративных крышек. </w:t>
            </w:r>
            <w:r/>
          </w:p>
          <w:p>
            <w:pPr>
              <w:pStyle w:val="Style19"/>
              <w:rPr>
                <w:sz w:val="22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>Ремонт холла   (3,00руб/м2, общая сумма 1 000 000руб)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2"/>
                <w:shd w:fill="FFFF66" w:val="clear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Доработан одобренный жителями вариант дизайн-проекта. Исполнитель выбран. Снят весь керамогранит, пригодный для повторного использования -зачищен. Стены зачищены.,загрунтованы.,оштукатурены.</w:t>
            </w: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 xml:space="preserve"> Проведена электропроводка. Потолок зачищен, загрунтован. Идет Облицовка керамогранитом. Устанавливаются гипрочные конструкции 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rPr>
                <w:sz w:val="20"/>
                <w:sz w:val="20"/>
                <w:szCs w:val="20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  <w:t>Правление ТСЖ «Твин Пикс»                                                                                                                                                               10мая 2016г.</w:t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ListParagraph">
    <w:name w:val="List Paragraph"/>
    <w:basedOn w:val="Normal"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5905</TotalTime>
  <Application>LibreOffice/4.3.4.1$Windows_x86 LibreOffice_project/bc356b2f991740509f321d70e4512a6a54c5f243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2015-11-23T12:43:30Z</dcterms:created>
  <dc:language>ru-RU</dc:language>
  <dcterms:modified xsi:type="dcterms:W3CDTF">2016-05-17T16:21:42Z</dcterms:modified>
  <cp:revision>5</cp:revision>
</cp:coreProperties>
</file>